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江苏虎豹集团有限公司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-10160</wp:posOffset>
                  </wp:positionV>
                  <wp:extent cx="791845" cy="551815"/>
                  <wp:effectExtent l="0" t="0" r="8255" b="6985"/>
                  <wp:wrapSquare wrapText="bothSides"/>
                  <wp:docPr id="1" name="图片 1" descr="e62a8817cb6ebb9f0cc132070a58c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62a8817cb6ebb9f0cc132070a58c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-2928620</wp:posOffset>
                  </wp:positionV>
                  <wp:extent cx="5188585" cy="3346450"/>
                  <wp:effectExtent l="0" t="0" r="5715" b="635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585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天然气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来源当地天然气供应商；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经统计分析，本公司主要消耗的能源为电力，主要用于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服装剪裁机、缝纫机的</w:t>
            </w:r>
            <w:r>
              <w:rPr>
                <w:rFonts w:hint="eastAsia" w:ascii="宋体" w:hAnsi="宋体"/>
                <w:sz w:val="21"/>
                <w:szCs w:val="21"/>
              </w:rPr>
              <w:t>生产加工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天然气主要用于蒸汽锅炉；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主要耗能设备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1、锅炉、2、剪裁机、3缝纫机、4、包装机；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55880</wp:posOffset>
                  </wp:positionV>
                  <wp:extent cx="606425" cy="414020"/>
                  <wp:effectExtent l="0" t="0" r="3175" b="508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总组长"/>
            <w:r>
              <w:rPr>
                <w:b/>
                <w:sz w:val="20"/>
              </w:rPr>
              <w:t>周涛</w:t>
            </w:r>
            <w:bookmarkEnd w:id="8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466B62"/>
    <w:rsid w:val="5BC87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2021-11-17T12:34:24Z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