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1145-2021-QEO</w:t>
      </w:r>
      <w:bookmarkEnd w:id="0"/>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洪湖市现代基业商品砼有限公司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2021年11月05日 上午至2021年11月05日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91"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b/>
                <w:szCs w:val="21"/>
              </w:rPr>
              <w:sym w:font="Wingdings 2" w:char="00A3"/>
            </w:r>
            <w:r>
              <w:rPr>
                <w:rFonts w:hint="eastAsia" w:ascii="宋体"/>
                <w:b/>
                <w:szCs w:val="21"/>
              </w:rPr>
              <w:t>结合审核</w:t>
            </w:r>
            <w:r>
              <w:rPr>
                <w:rFonts w:hint="eastAsia" w:ascii="宋体"/>
                <w:b/>
                <w:szCs w:val="21"/>
              </w:rPr>
              <w:sym w:font="Wingdings 2" w:char="0052"/>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537"/>
        <w:gridCol w:w="1473"/>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537" w:type="dxa"/>
            <w:vAlign w:val="center"/>
          </w:tcPr>
          <w:p>
            <w:pPr>
              <w:spacing w:line="240" w:lineRule="exact"/>
              <w:jc w:val="center"/>
              <w:rPr>
                <w:b/>
                <w:color w:val="000000"/>
                <w:szCs w:val="21"/>
              </w:rPr>
            </w:pPr>
            <w:r>
              <w:rPr>
                <w:rFonts w:hint="eastAsia"/>
                <w:szCs w:val="21"/>
              </w:rPr>
              <w:t>审核员注册证书号</w:t>
            </w:r>
          </w:p>
        </w:tc>
        <w:tc>
          <w:tcPr>
            <w:tcW w:w="1473"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温红玲</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537" w:type="dxa"/>
            <w:vAlign w:val="center"/>
          </w:tcPr>
          <w:p>
            <w:pPr>
              <w:spacing w:line="240" w:lineRule="exact"/>
              <w:jc w:val="center"/>
              <w:rPr>
                <w:b/>
                <w:color w:val="000000"/>
                <w:szCs w:val="21"/>
              </w:rPr>
            </w:pPr>
            <w:r>
              <w:rPr>
                <w:b/>
                <w:color w:val="000000"/>
                <w:szCs w:val="21"/>
              </w:rPr>
              <w:t>2019-N1QMS-2210533</w:t>
            </w:r>
          </w:p>
          <w:p>
            <w:pPr>
              <w:spacing w:line="240" w:lineRule="exact"/>
              <w:jc w:val="center"/>
              <w:rPr>
                <w:b/>
                <w:color w:val="000000"/>
                <w:szCs w:val="21"/>
              </w:rPr>
            </w:pPr>
            <w:r>
              <w:rPr>
                <w:b/>
                <w:color w:val="000000"/>
                <w:szCs w:val="21"/>
              </w:rPr>
              <w:t>2021-N1EMS-1210533</w:t>
            </w:r>
          </w:p>
          <w:p>
            <w:pPr>
              <w:spacing w:line="240" w:lineRule="exact"/>
              <w:jc w:val="center"/>
              <w:rPr>
                <w:b/>
                <w:color w:val="000000"/>
                <w:szCs w:val="21"/>
              </w:rPr>
            </w:pPr>
            <w:r>
              <w:rPr>
                <w:b/>
                <w:color w:val="000000"/>
                <w:szCs w:val="21"/>
              </w:rPr>
              <w:t>2021-N1OHSMS-1210533</w:t>
            </w:r>
          </w:p>
        </w:tc>
        <w:tc>
          <w:tcPr>
            <w:tcW w:w="1473" w:type="dxa"/>
            <w:vAlign w:val="center"/>
          </w:tcPr>
          <w:p>
            <w:pPr>
              <w:spacing w:line="240" w:lineRule="exact"/>
              <w:jc w:val="center"/>
              <w:rPr>
                <w:b/>
                <w:color w:val="000000"/>
                <w:szCs w:val="21"/>
              </w:rPr>
            </w:pPr>
          </w:p>
        </w:tc>
        <w:tc>
          <w:tcPr>
            <w:tcW w:w="1088" w:type="dxa"/>
            <w:vAlign w:val="center"/>
          </w:tcPr>
          <w:p>
            <w:pPr>
              <w:spacing w:line="240" w:lineRule="exact"/>
              <w:jc w:val="center"/>
              <w:rPr>
                <w:rFonts w:hint="default"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强兴</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537" w:type="dxa"/>
            <w:vAlign w:val="center"/>
          </w:tcPr>
          <w:p>
            <w:pPr>
              <w:spacing w:line="240" w:lineRule="exact"/>
              <w:jc w:val="center"/>
              <w:rPr>
                <w:b/>
                <w:color w:val="000000"/>
                <w:szCs w:val="21"/>
              </w:rPr>
            </w:pPr>
            <w:r>
              <w:rPr>
                <w:b/>
                <w:color w:val="000000"/>
                <w:szCs w:val="21"/>
              </w:rPr>
              <w:t>2020-N1QMS-1263375</w:t>
            </w:r>
          </w:p>
          <w:p>
            <w:pPr>
              <w:spacing w:line="240" w:lineRule="exact"/>
              <w:jc w:val="center"/>
              <w:rPr>
                <w:b/>
                <w:color w:val="000000"/>
                <w:szCs w:val="21"/>
              </w:rPr>
            </w:pPr>
            <w:r>
              <w:rPr>
                <w:b/>
                <w:color w:val="000000"/>
                <w:szCs w:val="21"/>
              </w:rPr>
              <w:t>2020-N1EMS-1263375</w:t>
            </w:r>
          </w:p>
          <w:p>
            <w:pPr>
              <w:spacing w:line="240" w:lineRule="exact"/>
              <w:jc w:val="center"/>
              <w:rPr>
                <w:b/>
                <w:color w:val="000000"/>
                <w:szCs w:val="21"/>
              </w:rPr>
            </w:pPr>
            <w:r>
              <w:rPr>
                <w:b/>
                <w:color w:val="000000"/>
                <w:szCs w:val="21"/>
              </w:rPr>
              <w:t>2021-N1OHSMS-1263375</w:t>
            </w:r>
          </w:p>
        </w:tc>
        <w:tc>
          <w:tcPr>
            <w:tcW w:w="1473"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潘荣君</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537" w:type="dxa"/>
            <w:vAlign w:val="center"/>
          </w:tcPr>
          <w:p>
            <w:pPr>
              <w:spacing w:line="240" w:lineRule="exact"/>
              <w:jc w:val="center"/>
              <w:rPr>
                <w:b/>
                <w:color w:val="000000"/>
                <w:szCs w:val="21"/>
              </w:rPr>
            </w:pPr>
            <w:r>
              <w:rPr>
                <w:b/>
                <w:color w:val="000000"/>
                <w:szCs w:val="21"/>
              </w:rPr>
              <w:t>ISC-JSZJ-208</w:t>
            </w:r>
          </w:p>
          <w:p>
            <w:pPr>
              <w:spacing w:line="240" w:lineRule="exact"/>
              <w:jc w:val="center"/>
              <w:rPr>
                <w:b/>
                <w:color w:val="000000"/>
                <w:szCs w:val="21"/>
              </w:rPr>
            </w:pPr>
            <w:r>
              <w:rPr>
                <w:b/>
                <w:color w:val="000000"/>
                <w:szCs w:val="21"/>
              </w:rPr>
              <w:t>ISC-JSZJ-208</w:t>
            </w:r>
          </w:p>
          <w:p>
            <w:pPr>
              <w:spacing w:line="240" w:lineRule="exact"/>
              <w:jc w:val="center"/>
              <w:rPr>
                <w:b/>
                <w:color w:val="000000"/>
                <w:szCs w:val="21"/>
              </w:rPr>
            </w:pPr>
            <w:r>
              <w:rPr>
                <w:b/>
                <w:color w:val="000000"/>
                <w:szCs w:val="21"/>
              </w:rPr>
              <w:t>ISC-JSZJ-208</w:t>
            </w:r>
          </w:p>
          <w:p>
            <w:pPr>
              <w:spacing w:line="240" w:lineRule="exact"/>
              <w:jc w:val="center"/>
              <w:rPr>
                <w:b/>
                <w:color w:val="000000"/>
                <w:szCs w:val="21"/>
              </w:rPr>
            </w:pPr>
            <w:r>
              <w:rPr>
                <w:b/>
                <w:color w:val="000000"/>
                <w:szCs w:val="21"/>
              </w:rPr>
              <w:t>洪湖市鼎固商砼有限公司</w:t>
            </w:r>
          </w:p>
        </w:tc>
        <w:tc>
          <w:tcPr>
            <w:tcW w:w="1473" w:type="dxa"/>
            <w:vAlign w:val="center"/>
          </w:tcPr>
          <w:p>
            <w:pPr>
              <w:spacing w:line="240" w:lineRule="exact"/>
              <w:jc w:val="center"/>
              <w:rPr>
                <w:b/>
                <w:color w:val="000000"/>
                <w:szCs w:val="21"/>
              </w:rPr>
            </w:pPr>
            <w:r>
              <w:rPr>
                <w:b/>
                <w:color w:val="000000"/>
                <w:szCs w:val="21"/>
              </w:rPr>
              <w:t>Q:16.02.03</w:t>
            </w:r>
          </w:p>
          <w:p>
            <w:pPr>
              <w:spacing w:line="240" w:lineRule="exact"/>
              <w:jc w:val="center"/>
              <w:rPr>
                <w:b/>
                <w:color w:val="000000"/>
                <w:szCs w:val="21"/>
              </w:rPr>
            </w:pPr>
            <w:r>
              <w:rPr>
                <w:b/>
                <w:color w:val="000000"/>
                <w:szCs w:val="21"/>
              </w:rPr>
              <w:t>E:16.02.03</w:t>
            </w:r>
          </w:p>
          <w:p>
            <w:pPr>
              <w:spacing w:line="240" w:lineRule="exact"/>
              <w:jc w:val="center"/>
              <w:rPr>
                <w:b/>
                <w:color w:val="000000"/>
                <w:szCs w:val="21"/>
              </w:rPr>
            </w:pPr>
            <w:r>
              <w:rPr>
                <w:b/>
                <w:color w:val="000000"/>
                <w:szCs w:val="21"/>
              </w:rPr>
              <w:t>O:16.02.03</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张磊</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537" w:type="dxa"/>
            <w:vAlign w:val="center"/>
          </w:tcPr>
          <w:p>
            <w:pPr>
              <w:spacing w:line="240" w:lineRule="exact"/>
              <w:jc w:val="center"/>
              <w:rPr>
                <w:b/>
                <w:color w:val="000000"/>
                <w:szCs w:val="21"/>
              </w:rPr>
            </w:pPr>
            <w:r>
              <w:rPr>
                <w:b/>
                <w:color w:val="000000"/>
                <w:szCs w:val="21"/>
              </w:rPr>
              <w:t>2019-N1QMS-1258213</w:t>
            </w:r>
          </w:p>
          <w:p>
            <w:pPr>
              <w:spacing w:line="240" w:lineRule="exact"/>
              <w:jc w:val="center"/>
              <w:rPr>
                <w:b/>
                <w:color w:val="000000"/>
                <w:szCs w:val="21"/>
              </w:rPr>
            </w:pPr>
            <w:r>
              <w:rPr>
                <w:b/>
                <w:color w:val="000000"/>
                <w:szCs w:val="21"/>
              </w:rPr>
              <w:t>2020-N1EMS-1258213</w:t>
            </w:r>
          </w:p>
          <w:p>
            <w:pPr>
              <w:spacing w:line="240" w:lineRule="exact"/>
              <w:jc w:val="center"/>
              <w:rPr>
                <w:b/>
                <w:color w:val="000000"/>
                <w:szCs w:val="21"/>
              </w:rPr>
            </w:pPr>
            <w:r>
              <w:rPr>
                <w:b/>
                <w:color w:val="000000"/>
                <w:szCs w:val="21"/>
              </w:rPr>
              <w:t>2020-N1OHSMS-1258213</w:t>
            </w:r>
          </w:p>
        </w:tc>
        <w:tc>
          <w:tcPr>
            <w:tcW w:w="1473" w:type="dxa"/>
            <w:vAlign w:val="center"/>
          </w:tcPr>
          <w:p>
            <w:pPr>
              <w:spacing w:line="240" w:lineRule="exact"/>
              <w:jc w:val="center"/>
              <w:rPr>
                <w:b/>
                <w:color w:val="000000"/>
                <w:szCs w:val="21"/>
              </w:rPr>
            </w:pPr>
          </w:p>
        </w:tc>
        <w:tc>
          <w:tcPr>
            <w:tcW w:w="1088" w:type="dxa"/>
            <w:vAlign w:val="center"/>
          </w:tcPr>
          <w:p>
            <w:pPr>
              <w:spacing w:line="240" w:lineRule="exact"/>
              <w:jc w:val="center"/>
              <w:rPr>
                <w:rFonts w:hint="default"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jc w:val="center"/>
              <w:rPr>
                <w:b/>
                <w:color w:val="000000"/>
                <w:szCs w:val="21"/>
              </w:rPr>
            </w:pPr>
            <w:r>
              <w:rPr>
                <w:rFonts w:hint="eastAsia"/>
                <w:b/>
                <w:color w:val="000000"/>
                <w:szCs w:val="21"/>
              </w:rPr>
              <w:t>姓名</w:t>
            </w:r>
          </w:p>
        </w:tc>
        <w:tc>
          <w:tcPr>
            <w:tcW w:w="1089" w:type="dxa"/>
            <w:vAlign w:val="center"/>
          </w:tcPr>
          <w:p>
            <w:pPr>
              <w:jc w:val="center"/>
              <w:rPr>
                <w:b/>
                <w:color w:val="000000"/>
                <w:szCs w:val="21"/>
              </w:rPr>
            </w:pPr>
            <w:r>
              <w:rPr>
                <w:rFonts w:hint="eastAsia"/>
                <w:b/>
                <w:color w:val="000000"/>
                <w:szCs w:val="21"/>
              </w:rPr>
              <w:t>作用</w:t>
            </w:r>
          </w:p>
        </w:tc>
        <w:tc>
          <w:tcPr>
            <w:tcW w:w="711" w:type="dxa"/>
            <w:vAlign w:val="center"/>
          </w:tcPr>
          <w:p>
            <w:pPr>
              <w:jc w:val="center"/>
              <w:rPr>
                <w:b/>
                <w:color w:val="000000"/>
                <w:szCs w:val="21"/>
              </w:rPr>
            </w:pPr>
            <w:r>
              <w:rPr>
                <w:rFonts w:hint="eastAsia"/>
                <w:b/>
                <w:color w:val="000000"/>
                <w:szCs w:val="21"/>
              </w:rPr>
              <w:t>性别</w:t>
            </w:r>
          </w:p>
        </w:tc>
        <w:tc>
          <w:tcPr>
            <w:tcW w:w="3537" w:type="dxa"/>
            <w:vAlign w:val="center"/>
          </w:tcPr>
          <w:p>
            <w:pPr>
              <w:jc w:val="center"/>
              <w:rPr>
                <w:b/>
                <w:color w:val="000000"/>
                <w:szCs w:val="21"/>
              </w:rPr>
            </w:pPr>
            <w:r>
              <w:rPr>
                <w:rFonts w:hint="eastAsia"/>
                <w:b/>
                <w:color w:val="000000"/>
                <w:szCs w:val="21"/>
              </w:rPr>
              <w:t>工作单位</w:t>
            </w:r>
          </w:p>
        </w:tc>
        <w:tc>
          <w:tcPr>
            <w:tcW w:w="2561" w:type="dxa"/>
            <w:gridSpan w:val="2"/>
            <w:vAlign w:val="center"/>
          </w:tcPr>
          <w:p>
            <w:pPr>
              <w:jc w:val="cente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537" w:type="dxa"/>
            <w:vAlign w:val="center"/>
          </w:tcPr>
          <w:p>
            <w:pPr>
              <w:rPr>
                <w:b/>
                <w:color w:val="000000"/>
                <w:szCs w:val="21"/>
              </w:rPr>
            </w:pPr>
          </w:p>
        </w:tc>
        <w:tc>
          <w:tcPr>
            <w:tcW w:w="2561"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537" w:type="dxa"/>
            <w:vAlign w:val="center"/>
          </w:tcPr>
          <w:p>
            <w:pPr>
              <w:rPr>
                <w:b/>
                <w:color w:val="000000"/>
                <w:szCs w:val="21"/>
                <w:highlight w:val="green"/>
              </w:rPr>
            </w:pPr>
          </w:p>
        </w:tc>
        <w:tc>
          <w:tcPr>
            <w:tcW w:w="2561" w:type="dxa"/>
            <w:gridSpan w:val="2"/>
            <w:vAlign w:val="center"/>
          </w:tcPr>
          <w:p>
            <w:pPr>
              <w:rPr>
                <w:b/>
                <w:color w:val="000000"/>
                <w:szCs w:val="21"/>
                <w:highlight w:val="green"/>
              </w:rPr>
            </w:pPr>
          </w:p>
        </w:tc>
      </w:tr>
    </w:tbl>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洪湖市现代基业商品砼有限公司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洪湖市乌林镇茅埠村</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433210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洪湖市乌林镇茅埠村</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433210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陈金祥</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18186577358</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刘柳</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陈金祥</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产品：混凝土的生产及销售</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hint="eastAsia" w:ascii="宋体"/>
                <w:color w:val="000000"/>
                <w:szCs w:val="21"/>
                <w:lang w:val="en-US" w:eastAsia="zh-CN"/>
              </w:rPr>
            </w:pPr>
            <w:r>
              <w:rPr>
                <w:rFonts w:hint="eastAsia" w:ascii="宋体"/>
                <w:color w:val="000000"/>
                <w:szCs w:val="21"/>
                <w:lang w:val="en-US" w:eastAsia="zh-CN"/>
              </w:rPr>
              <w:t>混凝土的生产：下达生产任务→请混凝土申配合比、依据配合比备料、进行原材料检验→测砂石含水率、调整砂石和用水量、调整好的配合比输入微机→按配合比要求计量（称重）→搅拌（定时控制）→出料（测塌落度、制作试块）→装入罐车→运输（至需方指定地点）→浇筑</w:t>
            </w:r>
          </w:p>
          <w:p>
            <w:pPr>
              <w:tabs>
                <w:tab w:val="left" w:pos="360"/>
              </w:tabs>
              <w:ind w:left="360" w:hanging="360"/>
              <w:rPr>
                <w:rFonts w:hint="default" w:ascii="宋体"/>
                <w:color w:val="000000"/>
                <w:szCs w:val="21"/>
                <w:lang w:val="en-US" w:eastAsia="zh-CN"/>
              </w:rPr>
            </w:pPr>
            <w:r>
              <w:rPr>
                <w:rFonts w:hint="eastAsia" w:ascii="宋体"/>
                <w:color w:val="000000"/>
                <w:szCs w:val="21"/>
                <w:lang w:val="en-US" w:eastAsia="zh-CN"/>
              </w:rPr>
              <w:t>混凝土的销售：顾客要求评审--签订合同--下达生产指令--生产---检测--交付--顾客满意监控--沟通改进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混凝土的生产及销售</w:t>
            </w: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16.02.03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混凝土的生产及销售所涉及场所的相关环境管理活动</w:t>
            </w: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16.02.03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混凝土的生产及销售所涉及场所的相关职业健康安全管理活动</w:t>
            </w: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16.02.03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657"/>
        <w:gridCol w:w="1007"/>
        <w:gridCol w:w="577"/>
        <w:gridCol w:w="2485"/>
        <w:gridCol w:w="285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165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00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485"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2851" w:type="dxa"/>
            <w:shd w:val="clear" w:color="auto" w:fill="F3F3F3"/>
            <w:tcMar>
              <w:left w:w="57" w:type="dxa"/>
              <w:right w:w="57" w:type="dxa"/>
            </w:tcMar>
          </w:tcPr>
          <w:p>
            <w:pPr>
              <w:pStyle w:val="21"/>
              <w:spacing w:before="0" w:after="0"/>
              <w:jc w:val="center"/>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1657" w:type="dxa"/>
          </w:tcPr>
          <w:p>
            <w:pPr>
              <w:spacing w:before="40" w:after="40"/>
              <w:rPr>
                <w:rFonts w:hint="eastAsia" w:eastAsia="黑体"/>
                <w:szCs w:val="21"/>
                <w:lang w:val="en-US" w:eastAsia="zh-CN"/>
              </w:rPr>
            </w:pPr>
            <w:r>
              <w:rPr>
                <w:rFonts w:hint="eastAsia" w:eastAsia="黑体"/>
                <w:szCs w:val="21"/>
                <w:lang w:val="de-DE" w:eastAsia="ja-JP"/>
              </w:rPr>
              <w:t>洪湖市现代基业商品砼有限公司</w:t>
            </w:r>
            <w:r>
              <w:rPr>
                <w:rFonts w:hint="eastAsia" w:eastAsia="黑体"/>
                <w:szCs w:val="21"/>
                <w:lang w:val="en-US" w:eastAsia="zh-CN"/>
              </w:rPr>
              <w:t>/洪湖市乌林镇茅埠村</w:t>
            </w:r>
          </w:p>
        </w:tc>
        <w:tc>
          <w:tcPr>
            <w:tcW w:w="1007" w:type="dxa"/>
          </w:tcPr>
          <w:p>
            <w:pPr>
              <w:spacing w:before="40" w:after="40"/>
              <w:rPr>
                <w:rFonts w:eastAsia="黑体"/>
                <w:szCs w:val="21"/>
                <w:lang w:val="de-DE" w:eastAsia="ja-JP"/>
              </w:rPr>
            </w:pPr>
            <w:r>
              <w:rPr>
                <w:rFonts w:hint="eastAsia" w:eastAsia="黑体"/>
                <w:szCs w:val="21"/>
                <w:lang w:val="de-DE" w:eastAsia="ja-JP"/>
              </w:rPr>
              <w:t>洪湖市乌林镇茅埠村</w:t>
            </w:r>
          </w:p>
        </w:tc>
        <w:tc>
          <w:tcPr>
            <w:tcW w:w="577" w:type="dxa"/>
            <w:vAlign w:val="center"/>
          </w:tcPr>
          <w:p>
            <w:pPr>
              <w:spacing w:before="40" w:after="40"/>
              <w:rPr>
                <w:rFonts w:hint="default" w:eastAsia="黑体"/>
                <w:szCs w:val="21"/>
                <w:lang w:val="en-US" w:eastAsia="zh-CN"/>
              </w:rPr>
            </w:pPr>
            <w:r>
              <w:rPr>
                <w:rFonts w:hint="eastAsia" w:eastAsia="黑体"/>
                <w:szCs w:val="21"/>
                <w:lang w:val="en-US" w:eastAsia="zh-CN"/>
              </w:rPr>
              <w:t>56</w:t>
            </w:r>
          </w:p>
        </w:tc>
        <w:tc>
          <w:tcPr>
            <w:tcW w:w="2485" w:type="dxa"/>
            <w:vAlign w:val="center"/>
          </w:tcPr>
          <w:p>
            <w:pPr>
              <w:pStyle w:val="19"/>
              <w:rPr>
                <w:rFonts w:hint="eastAsia" w:eastAsia="黑体" w:cs="Arial"/>
                <w:sz w:val="21"/>
                <w:szCs w:val="21"/>
                <w:lang w:val="en-US" w:eastAsia="ja-JP"/>
              </w:rPr>
            </w:pPr>
            <w:r>
              <w:rPr>
                <w:rFonts w:hint="eastAsia" w:eastAsia="黑体" w:cs="Arial"/>
                <w:sz w:val="21"/>
                <w:szCs w:val="21"/>
                <w:lang w:val="en-US" w:eastAsia="ja-JP"/>
              </w:rPr>
              <w:t>Q：混凝土的生产及销售</w:t>
            </w:r>
          </w:p>
          <w:p>
            <w:pPr>
              <w:pStyle w:val="19"/>
              <w:rPr>
                <w:rFonts w:hint="eastAsia" w:eastAsia="黑体" w:cs="Arial"/>
                <w:sz w:val="21"/>
                <w:szCs w:val="21"/>
                <w:lang w:val="en-US" w:eastAsia="ja-JP"/>
              </w:rPr>
            </w:pPr>
            <w:r>
              <w:rPr>
                <w:rFonts w:hint="eastAsia" w:eastAsia="黑体" w:cs="Arial"/>
                <w:sz w:val="21"/>
                <w:szCs w:val="21"/>
                <w:lang w:val="en-US" w:eastAsia="ja-JP"/>
              </w:rPr>
              <w:t>E：混凝土的生产及销售所涉及场所的相关环境管理活动</w:t>
            </w:r>
          </w:p>
          <w:p>
            <w:pPr>
              <w:pStyle w:val="19"/>
              <w:rPr>
                <w:rFonts w:eastAsia="黑体" w:cs="Arial"/>
                <w:sz w:val="21"/>
                <w:szCs w:val="21"/>
                <w:lang w:val="en-US" w:eastAsia="ja-JP"/>
              </w:rPr>
            </w:pPr>
            <w:r>
              <w:rPr>
                <w:rFonts w:hint="eastAsia" w:eastAsia="黑体" w:cs="Arial"/>
                <w:sz w:val="21"/>
                <w:szCs w:val="21"/>
                <w:lang w:val="en-US" w:eastAsia="ja-JP"/>
              </w:rPr>
              <w:t>O：混凝土的生产及销售所涉及场所的相关职业健康安全管理活动</w:t>
            </w:r>
          </w:p>
        </w:tc>
        <w:tc>
          <w:tcPr>
            <w:tcW w:w="2851" w:type="dxa"/>
            <w:vAlign w:val="center"/>
          </w:tcPr>
          <w:p>
            <w:pPr>
              <w:spacing w:before="40" w:after="40"/>
              <w:jc w:val="left"/>
              <w:rPr>
                <w:rFonts w:hint="eastAsia" w:eastAsia="黑体"/>
                <w:szCs w:val="21"/>
                <w:lang w:eastAsia="ja-JP"/>
              </w:rPr>
            </w:pPr>
            <w:r>
              <w:rPr>
                <w:rFonts w:hint="eastAsia" w:eastAsia="黑体"/>
                <w:szCs w:val="21"/>
                <w:lang w:eastAsia="ja-JP"/>
              </w:rPr>
              <w:t xml:space="preserve">■GB/T19001-2016/ISO 9001:2015    </w:t>
            </w:r>
          </w:p>
          <w:p>
            <w:pPr>
              <w:spacing w:before="40" w:after="40"/>
              <w:jc w:val="left"/>
              <w:rPr>
                <w:rFonts w:hint="eastAsia" w:eastAsia="黑体"/>
                <w:szCs w:val="21"/>
                <w:lang w:eastAsia="ja-JP"/>
              </w:rPr>
            </w:pPr>
            <w:r>
              <w:rPr>
                <w:rFonts w:hint="eastAsia" w:eastAsia="黑体"/>
                <w:szCs w:val="21"/>
                <w:lang w:eastAsia="ja-JP"/>
              </w:rPr>
              <w:t xml:space="preserve">■GB/T24001-2016/ISO 14001:2015 </w:t>
            </w:r>
          </w:p>
          <w:p>
            <w:pPr>
              <w:spacing w:before="40" w:after="40"/>
              <w:jc w:val="left"/>
              <w:rPr>
                <w:rFonts w:eastAsia="黑体"/>
                <w:szCs w:val="21"/>
                <w:lang w:eastAsia="ja-JP"/>
              </w:rPr>
            </w:pPr>
            <w:r>
              <w:rPr>
                <w:rFonts w:hint="eastAsia" w:eastAsia="黑体"/>
                <w:szCs w:val="21"/>
                <w:lang w:eastAsia="ja-JP"/>
              </w:rPr>
              <w:t>■GB/T 45001-2020/ISO45001：2018</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eastAsia="黑体"/>
                    <w:szCs w:val="21"/>
                  </w:rPr>
                  <w:sym w:font="Wingdings 2" w:char="0052"/>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1657" w:type="dxa"/>
            <w:vAlign w:val="center"/>
          </w:tcPr>
          <w:p>
            <w:pPr>
              <w:spacing w:before="40" w:after="40"/>
              <w:rPr>
                <w:rFonts w:eastAsia="黑体"/>
                <w:szCs w:val="21"/>
                <w:lang w:eastAsia="ja-JP"/>
              </w:rPr>
            </w:pPr>
          </w:p>
        </w:tc>
        <w:tc>
          <w:tcPr>
            <w:tcW w:w="1007" w:type="dxa"/>
            <w:vAlign w:val="center"/>
          </w:tcPr>
          <w:p>
            <w:pPr>
              <w:spacing w:before="40" w:after="40"/>
              <w:rPr>
                <w:rFonts w:eastAsia="黑体"/>
                <w:szCs w:val="21"/>
                <w:lang w:eastAsia="ja-JP"/>
              </w:rPr>
            </w:pPr>
          </w:p>
        </w:tc>
        <w:tc>
          <w:tcPr>
            <w:tcW w:w="577" w:type="dxa"/>
            <w:vAlign w:val="center"/>
          </w:tcPr>
          <w:p>
            <w:pPr>
              <w:spacing w:before="40" w:after="40"/>
              <w:rPr>
                <w:rFonts w:eastAsia="黑体"/>
                <w:szCs w:val="21"/>
                <w:lang w:eastAsia="ja-JP"/>
              </w:rPr>
            </w:pPr>
          </w:p>
        </w:tc>
        <w:tc>
          <w:tcPr>
            <w:tcW w:w="2485" w:type="dxa"/>
            <w:vAlign w:val="center"/>
          </w:tcPr>
          <w:p>
            <w:pPr>
              <w:spacing w:before="40" w:after="40"/>
              <w:rPr>
                <w:rFonts w:eastAsia="黑体"/>
                <w:szCs w:val="21"/>
                <w:lang w:eastAsia="ja-JP"/>
              </w:rPr>
            </w:pPr>
          </w:p>
        </w:tc>
        <w:tc>
          <w:tcPr>
            <w:tcW w:w="2851"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1657" w:type="dxa"/>
            <w:vAlign w:val="center"/>
          </w:tcPr>
          <w:p>
            <w:pPr>
              <w:spacing w:before="40" w:after="40"/>
              <w:rPr>
                <w:rFonts w:eastAsia="黑体"/>
                <w:szCs w:val="21"/>
                <w:lang w:eastAsia="ja-JP"/>
              </w:rPr>
            </w:pPr>
          </w:p>
        </w:tc>
        <w:tc>
          <w:tcPr>
            <w:tcW w:w="1007" w:type="dxa"/>
            <w:vAlign w:val="center"/>
          </w:tcPr>
          <w:p>
            <w:pPr>
              <w:spacing w:before="40" w:after="40"/>
              <w:rPr>
                <w:rFonts w:eastAsia="黑体"/>
                <w:szCs w:val="21"/>
                <w:lang w:eastAsia="ja-JP"/>
              </w:rPr>
            </w:pPr>
          </w:p>
        </w:tc>
        <w:tc>
          <w:tcPr>
            <w:tcW w:w="577" w:type="dxa"/>
            <w:vAlign w:val="center"/>
          </w:tcPr>
          <w:p>
            <w:pPr>
              <w:spacing w:before="40" w:after="40"/>
              <w:rPr>
                <w:rFonts w:eastAsia="黑体"/>
                <w:szCs w:val="21"/>
                <w:lang w:eastAsia="ja-JP"/>
              </w:rPr>
            </w:pPr>
          </w:p>
        </w:tc>
        <w:tc>
          <w:tcPr>
            <w:tcW w:w="2485" w:type="dxa"/>
            <w:vAlign w:val="center"/>
          </w:tcPr>
          <w:p>
            <w:pPr>
              <w:spacing w:before="40" w:after="40"/>
              <w:rPr>
                <w:rFonts w:eastAsia="黑体"/>
                <w:szCs w:val="21"/>
                <w:lang w:eastAsia="ja-JP"/>
              </w:rPr>
            </w:pPr>
          </w:p>
        </w:tc>
        <w:tc>
          <w:tcPr>
            <w:tcW w:w="2851"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1657" w:type="dxa"/>
            <w:vAlign w:val="center"/>
          </w:tcPr>
          <w:p>
            <w:pPr>
              <w:spacing w:before="40" w:after="40"/>
              <w:rPr>
                <w:rFonts w:eastAsia="黑体"/>
                <w:szCs w:val="21"/>
                <w:lang w:eastAsia="ja-JP"/>
              </w:rPr>
            </w:pPr>
          </w:p>
        </w:tc>
        <w:tc>
          <w:tcPr>
            <w:tcW w:w="1007" w:type="dxa"/>
            <w:vAlign w:val="center"/>
          </w:tcPr>
          <w:p>
            <w:pPr>
              <w:spacing w:before="40" w:after="40"/>
              <w:rPr>
                <w:rFonts w:eastAsia="黑体"/>
                <w:szCs w:val="21"/>
                <w:lang w:eastAsia="ja-JP"/>
              </w:rPr>
            </w:pPr>
          </w:p>
        </w:tc>
        <w:tc>
          <w:tcPr>
            <w:tcW w:w="577" w:type="dxa"/>
            <w:vAlign w:val="center"/>
          </w:tcPr>
          <w:p>
            <w:pPr>
              <w:spacing w:before="40" w:after="40"/>
              <w:rPr>
                <w:rFonts w:eastAsia="黑体"/>
                <w:szCs w:val="21"/>
                <w:lang w:eastAsia="ja-JP"/>
              </w:rPr>
            </w:pPr>
          </w:p>
        </w:tc>
        <w:tc>
          <w:tcPr>
            <w:tcW w:w="2485" w:type="dxa"/>
            <w:vAlign w:val="center"/>
          </w:tcPr>
          <w:p>
            <w:pPr>
              <w:spacing w:before="40" w:after="40"/>
              <w:rPr>
                <w:rFonts w:eastAsia="黑体"/>
                <w:szCs w:val="21"/>
                <w:lang w:eastAsia="ja-JP"/>
              </w:rPr>
            </w:pPr>
          </w:p>
        </w:tc>
        <w:tc>
          <w:tcPr>
            <w:tcW w:w="2851"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1657" w:type="dxa"/>
            <w:vAlign w:val="center"/>
          </w:tcPr>
          <w:p>
            <w:pPr>
              <w:spacing w:before="40" w:after="40"/>
              <w:rPr>
                <w:rFonts w:eastAsia="黑体"/>
                <w:szCs w:val="21"/>
                <w:lang w:eastAsia="ja-JP"/>
              </w:rPr>
            </w:pPr>
          </w:p>
        </w:tc>
        <w:tc>
          <w:tcPr>
            <w:tcW w:w="1007" w:type="dxa"/>
            <w:vAlign w:val="center"/>
          </w:tcPr>
          <w:p>
            <w:pPr>
              <w:spacing w:before="40" w:after="40"/>
              <w:rPr>
                <w:rFonts w:eastAsia="黑体"/>
                <w:szCs w:val="21"/>
                <w:lang w:eastAsia="ja-JP"/>
              </w:rPr>
            </w:pPr>
          </w:p>
        </w:tc>
        <w:tc>
          <w:tcPr>
            <w:tcW w:w="577" w:type="dxa"/>
            <w:vAlign w:val="center"/>
          </w:tcPr>
          <w:p>
            <w:pPr>
              <w:spacing w:before="40" w:after="40"/>
              <w:rPr>
                <w:rFonts w:eastAsia="黑体"/>
                <w:szCs w:val="21"/>
                <w:lang w:eastAsia="ja-JP"/>
              </w:rPr>
            </w:pPr>
          </w:p>
        </w:tc>
        <w:tc>
          <w:tcPr>
            <w:tcW w:w="2485" w:type="dxa"/>
            <w:vAlign w:val="center"/>
          </w:tcPr>
          <w:p>
            <w:pPr>
              <w:spacing w:before="40" w:after="40"/>
              <w:rPr>
                <w:rFonts w:eastAsia="黑体"/>
                <w:szCs w:val="21"/>
                <w:lang w:eastAsia="ja-JP"/>
              </w:rPr>
            </w:pPr>
          </w:p>
        </w:tc>
        <w:tc>
          <w:tcPr>
            <w:tcW w:w="2851"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eastAsia="宋体"/>
                <w:color w:val="000000"/>
                <w:sz w:val="21"/>
                <w:szCs w:val="21"/>
                <w:lang w:eastAsia="zh-CN"/>
              </w:rPr>
              <w:sym w:font="Wingdings 2" w:char="00A3"/>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eastAsia="宋体"/>
                <w:color w:val="000000"/>
                <w:sz w:val="21"/>
                <w:szCs w:val="21"/>
                <w:lang w:eastAsia="zh-CN"/>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eastAsia="宋体"/>
                <w:color w:val="000000"/>
                <w:sz w:val="21"/>
                <w:szCs w:val="21"/>
                <w:lang w:eastAsia="zh-CN"/>
              </w:rPr>
              <w:sym w:font="Wingdings 2" w:char="00A3"/>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eastAsia="宋体"/>
                <w:color w:val="000000"/>
                <w:sz w:val="21"/>
                <w:szCs w:val="21"/>
                <w:lang w:eastAsia="zh-CN"/>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eastAsia="宋体"/>
                <w:color w:val="000000"/>
                <w:sz w:val="21"/>
                <w:szCs w:val="21"/>
                <w:lang w:eastAsia="zh-CN"/>
              </w:rPr>
              <w:sym w:font="Wingdings 2" w:char="00A3"/>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eastAsia="宋体"/>
                <w:color w:val="000000"/>
                <w:sz w:val="21"/>
                <w:szCs w:val="21"/>
                <w:lang w:eastAsia="zh-CN"/>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A3"/>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eastAsia="宋体"/>
                <w:color w:val="000000"/>
                <w:sz w:val="21"/>
                <w:szCs w:val="21"/>
                <w:lang w:eastAsia="zh-CN"/>
              </w:rPr>
              <w:sym w:font="Wingdings 2" w:char="00A3"/>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eastAsia="宋体"/>
                <w:color w:val="000000"/>
                <w:sz w:val="21"/>
                <w:szCs w:val="21"/>
                <w:lang w:eastAsia="zh-CN"/>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A3"/>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eastAsia="宋体"/>
                <w:color w:val="000000"/>
                <w:sz w:val="21"/>
                <w:szCs w:val="21"/>
                <w:lang w:eastAsia="zh-CN"/>
              </w:rPr>
              <w:sym w:font="Wingdings 2" w:char="00A3"/>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eastAsia="宋体"/>
                <w:color w:val="000000"/>
                <w:sz w:val="21"/>
                <w:szCs w:val="21"/>
                <w:lang w:eastAsia="zh-CN"/>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A3"/>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eastAsia="宋体"/>
                <w:color w:val="000000"/>
                <w:sz w:val="21"/>
                <w:szCs w:val="21"/>
                <w:lang w:eastAsia="zh-CN"/>
              </w:rPr>
              <w:sym w:font="Wingdings 2" w:char="00A3"/>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eastAsia="宋体"/>
                <w:color w:val="000000"/>
                <w:sz w:val="21"/>
                <w:szCs w:val="21"/>
                <w:lang w:eastAsia="zh-CN"/>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宋体"/>
                <w:b w:val="0"/>
                <w:bCs/>
                <w:color w:val="000000"/>
                <w:sz w:val="21"/>
                <w:szCs w:val="21"/>
              </w:rPr>
              <w:t>生产</w:t>
            </w:r>
            <w:r>
              <w:rPr>
                <w:rFonts w:hint="eastAsia" w:ascii="宋体"/>
                <w:b w:val="0"/>
                <w:bCs/>
                <w:color w:val="000000"/>
                <w:sz w:val="21"/>
                <w:szCs w:val="21"/>
                <w:lang w:val="en-US" w:eastAsia="zh-CN"/>
              </w:rPr>
              <w:t>/经营/流通许可证</w:t>
            </w:r>
            <w:r>
              <w:rPr>
                <w:rFonts w:hint="eastAsia" w:ascii="宋体"/>
                <w:b w:val="0"/>
                <w:bCs/>
                <w:color w:val="000000"/>
                <w:sz w:val="21"/>
                <w:szCs w:val="21"/>
              </w:rPr>
              <w:t>是否有效</w:t>
            </w:r>
          </w:p>
        </w:tc>
        <w:tc>
          <w:tcPr>
            <w:tcW w:w="1048" w:type="dxa"/>
            <w:shd w:val="clear" w:color="auto" w:fill="auto"/>
            <w:vAlign w:val="center"/>
          </w:tcPr>
          <w:p>
            <w:pPr>
              <w:jc w:val="left"/>
              <w:rPr>
                <w:rFonts w:ascii="宋体" w:hAnsi="宋体"/>
                <w:color w:val="000000"/>
                <w:sz w:val="21"/>
                <w:szCs w:val="21"/>
              </w:rPr>
            </w:pPr>
            <w:r>
              <w:rPr>
                <w:rFonts w:hint="eastAsia" w:ascii="Wingdings" w:hAnsi="Wingdings" w:eastAsia="宋体"/>
                <w:color w:val="000000"/>
                <w:sz w:val="21"/>
                <w:szCs w:val="21"/>
                <w:lang w:eastAsia="zh-CN"/>
              </w:rPr>
              <w:sym w:font="Wingdings 2" w:char="00A3"/>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eastAsia="宋体"/>
                <w:color w:val="000000"/>
                <w:sz w:val="21"/>
                <w:szCs w:val="21"/>
                <w:lang w:eastAsia="zh-CN"/>
              </w:rPr>
              <w:sym w:font="Wingdings 2" w:char="00A3"/>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eastAsia="宋体"/>
                <w:color w:val="000000"/>
                <w:sz w:val="21"/>
                <w:szCs w:val="21"/>
                <w:lang w:eastAsia="zh-CN"/>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eastAsia="宋体"/>
                <w:color w:val="000000"/>
                <w:sz w:val="21"/>
                <w:szCs w:val="21"/>
                <w:lang w:eastAsia="zh-CN"/>
              </w:rPr>
              <w:sym w:font="Wingdings 2" w:char="00A3"/>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eastAsia="宋体"/>
                <w:color w:val="000000"/>
                <w:sz w:val="21"/>
                <w:szCs w:val="21"/>
                <w:lang w:eastAsia="zh-CN"/>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eastAsia="宋体"/>
                <w:color w:val="000000"/>
                <w:sz w:val="21"/>
                <w:szCs w:val="21"/>
                <w:lang w:eastAsia="zh-CN"/>
              </w:rPr>
              <w:sym w:font="Wingdings 2" w:char="00A3"/>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eastAsia="宋体"/>
                <w:color w:val="000000"/>
                <w:sz w:val="21"/>
                <w:szCs w:val="21"/>
                <w:lang w:eastAsia="zh-CN"/>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eastAsia="宋体"/>
                <w:color w:val="000000"/>
                <w:sz w:val="21"/>
                <w:szCs w:val="21"/>
                <w:lang w:eastAsia="zh-CN"/>
              </w:rPr>
              <w:sym w:font="Wingdings 2" w:char="00A3"/>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eastAsia="宋体"/>
                <w:color w:val="000000"/>
                <w:sz w:val="21"/>
                <w:szCs w:val="21"/>
                <w:lang w:eastAsia="zh-CN"/>
              </w:rPr>
              <w:sym w:font="Wingdings 2" w:char="00A3"/>
            </w:r>
            <w:r>
              <w:rPr>
                <w:rFonts w:hint="eastAsia" w:ascii="宋体" w:hAnsi="宋体"/>
                <w:color w:val="000000"/>
                <w:spacing w:val="-10"/>
                <w:szCs w:val="21"/>
              </w:rPr>
              <w:t>不适用</w:t>
            </w:r>
          </w:p>
        </w:tc>
      </w:tr>
    </w:tbl>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6</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8</w:t>
            </w:r>
            <w:r>
              <w:rPr>
                <w:rFonts w:hint="eastAsia" w:ascii="宋体" w:hAnsi="宋体"/>
                <w:b/>
                <w:color w:val="000000"/>
                <w:szCs w:val="21"/>
                <w:u w:val="single"/>
              </w:rPr>
              <w:t>月</w:t>
            </w:r>
            <w:r>
              <w:rPr>
                <w:rFonts w:hint="eastAsia" w:ascii="宋体" w:hAnsi="宋体"/>
                <w:b/>
                <w:color w:val="000000"/>
                <w:szCs w:val="21"/>
                <w:u w:val="single"/>
                <w:lang w:val="en-US" w:eastAsia="zh-CN"/>
              </w:rPr>
              <w:t>27</w:t>
            </w:r>
            <w:r>
              <w:rPr>
                <w:rFonts w:hint="eastAsia" w:ascii="宋体" w:hAnsi="宋体"/>
                <w:b/>
                <w:color w:val="000000"/>
                <w:szCs w:val="21"/>
                <w:u w:val="single"/>
              </w:rPr>
              <w:t>日</w:t>
            </w:r>
            <w:r>
              <w:rPr>
                <w:rFonts w:hint="eastAsia" w:ascii="宋体" w:hAnsi="宋体"/>
                <w:b/>
                <w:color w:val="000000"/>
                <w:szCs w:val="21"/>
                <w:u w:val="single"/>
                <w:lang w:val="en-US" w:eastAsia="zh-CN"/>
              </w:rPr>
              <w:t>-28日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2021年9月18日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zCs w:val="21"/>
                <w:lang w:val="en-US" w:eastAsia="zh-CN"/>
              </w:rPr>
            </w:pPr>
            <w:r>
              <w:rPr>
                <w:rFonts w:hint="eastAsia" w:ascii="宋体"/>
                <w:color w:val="000000"/>
                <w:szCs w:val="21"/>
                <w:lang w:val="en-US" w:eastAsia="zh-CN"/>
              </w:rPr>
              <w:t>配料混合</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销售</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sym w:font="Wingdings 2" w:char="0052"/>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8"/>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eastAsia="黑体"/>
                <w:b/>
                <w:szCs w:val="21"/>
              </w:rPr>
              <w:t>OHSAS 18001:2007</w:t>
            </w:r>
            <w:r>
              <w:rPr>
                <w:rFonts w:hint="eastAsia" w:eastAsia="黑体"/>
                <w:b/>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安全和职业健康主管部门、</w:t>
            </w:r>
            <w:r>
              <w:rPr>
                <w:rFonts w:hint="eastAsia" w:ascii="宋体"/>
                <w:color w:val="000000"/>
                <w:spacing w:val="-10"/>
                <w:szCs w:val="21"/>
              </w:rPr>
              <w:sym w:font="Wingdings 2" w:char="0052"/>
            </w:r>
            <w:r>
              <w:rPr>
                <w:rFonts w:hint="eastAsia" w:ascii="宋体"/>
                <w:color w:val="000000"/>
                <w:spacing w:val="-10"/>
                <w:szCs w:val="21"/>
              </w:rPr>
              <w:t>职业危害场所、</w:t>
            </w:r>
            <w:r>
              <w:rPr>
                <w:rFonts w:hint="eastAsia" w:ascii="宋体"/>
                <w:color w:val="000000"/>
                <w:spacing w:val="-10"/>
                <w:szCs w:val="21"/>
              </w:rPr>
              <w:sym w:font="Wingdings 2" w:char="0052"/>
            </w:r>
            <w:r>
              <w:rPr>
                <w:rFonts w:hint="eastAsia" w:ascii="宋体"/>
                <w:color w:val="000000"/>
                <w:spacing w:val="-10"/>
                <w:szCs w:val="21"/>
              </w:rPr>
              <w:t>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5" w:name="二阶段审核日期"/>
            <w:r>
              <w:rPr>
                <w:rFonts w:hint="eastAsia" w:ascii="宋体"/>
                <w:b/>
                <w:color w:val="000000"/>
                <w:szCs w:val="21"/>
              </w:rPr>
              <w:t>2021-11-0</w:t>
            </w:r>
            <w:bookmarkEnd w:id="35"/>
            <w:r>
              <w:rPr>
                <w:rFonts w:hint="eastAsia" w:ascii="宋体"/>
                <w:b/>
                <w:color w:val="000000"/>
                <w:szCs w:val="21"/>
                <w:lang w:val="en-US" w:eastAsia="zh-CN"/>
              </w:rPr>
              <w:t>6～2021-11-08</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eastAsia="宋体" w:cs="Times New Roman"/>
                <w:b/>
                <w:color w:val="000000"/>
                <w:kern w:val="2"/>
                <w:sz w:val="21"/>
                <w:szCs w:val="21"/>
                <w:lang w:val="en-US" w:eastAsia="zh-CN" w:bidi="ar-SA"/>
              </w:rPr>
            </w:pPr>
            <w:bookmarkStart w:id="36" w:name="_GoBack"/>
            <w:bookmarkEnd w:id="36"/>
          </w:p>
        </w:tc>
        <w:tc>
          <w:tcPr>
            <w:tcW w:w="1541" w:type="dxa"/>
            <w:vAlign w:val="center"/>
          </w:tcPr>
          <w:p>
            <w:pPr>
              <w:spacing w:line="400" w:lineRule="exact"/>
              <w:rPr>
                <w:rFonts w:ascii="宋体" w:hAnsi="宋体" w:eastAsia="宋体" w:cs="Times New Roman"/>
                <w:b/>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eastAsia="宋体" w:cs="Times New Roman"/>
                <w:b/>
                <w:color w:val="000000"/>
                <w:kern w:val="2"/>
                <w:sz w:val="21"/>
                <w:szCs w:val="21"/>
                <w:lang w:val="en-US" w:eastAsia="zh-CN" w:bidi="ar-SA"/>
              </w:rPr>
            </w:pPr>
          </w:p>
        </w:tc>
        <w:tc>
          <w:tcPr>
            <w:tcW w:w="1541" w:type="dxa"/>
            <w:vAlign w:val="center"/>
          </w:tcPr>
          <w:p>
            <w:pPr>
              <w:spacing w:line="400" w:lineRule="exact"/>
              <w:rPr>
                <w:rFonts w:ascii="宋体" w:hAnsi="宋体" w:eastAsia="宋体" w:cs="Times New Roman"/>
                <w:b/>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eastAsia="宋体" w:cs="Times New Roman"/>
                <w:b/>
                <w:color w:val="000000"/>
                <w:kern w:val="2"/>
                <w:sz w:val="21"/>
                <w:szCs w:val="21"/>
                <w:lang w:val="en-US" w:eastAsia="zh-CN" w:bidi="ar-SA"/>
              </w:rPr>
            </w:pPr>
          </w:p>
        </w:tc>
        <w:tc>
          <w:tcPr>
            <w:tcW w:w="1541" w:type="dxa"/>
            <w:vAlign w:val="center"/>
          </w:tcPr>
          <w:p>
            <w:pPr>
              <w:spacing w:line="400" w:lineRule="exact"/>
              <w:rPr>
                <w:rFonts w:ascii="宋体" w:hAnsi="宋体" w:eastAsia="宋体" w:cs="Times New Roman"/>
                <w:b/>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eastAsia="宋体" w:cs="Times New Roman"/>
                <w:b/>
                <w:color w:val="000000"/>
                <w:kern w:val="2"/>
                <w:sz w:val="21"/>
                <w:szCs w:val="21"/>
                <w:lang w:val="en-US" w:eastAsia="zh-CN" w:bidi="ar-SA"/>
              </w:rPr>
            </w:pPr>
          </w:p>
        </w:tc>
        <w:tc>
          <w:tcPr>
            <w:tcW w:w="1541" w:type="dxa"/>
            <w:vAlign w:val="center"/>
          </w:tcPr>
          <w:p>
            <w:pPr>
              <w:spacing w:line="400" w:lineRule="exact"/>
              <w:rPr>
                <w:rFonts w:ascii="宋体" w:hAnsi="宋体" w:eastAsia="宋体" w:cs="Times New Roman"/>
                <w:b/>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Adobe Myungjo Std M"/>
    <w:panose1 w:val="02020609040205080304"/>
    <w:charset w:val="80"/>
    <w:family w:val="modern"/>
    <w:pitch w:val="default"/>
    <w:sig w:usb0="00000000" w:usb1="00000000" w:usb2="00000010" w:usb3="00000000" w:csb0="0002009F" w:csb1="00000000"/>
  </w:font>
  <w:font w:name="Adobe Myungjo Std M">
    <w:panose1 w:val="02020600000000000000"/>
    <w:charset w:val="80"/>
    <w:family w:val="auto"/>
    <w:pitch w:val="default"/>
    <w:sig w:usb0="800002A7" w:usb1="29D7FCFB" w:usb2="00000010" w:usb3="00000000" w:csb0="402A0005"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mc:AlternateContent>
        <mc:Choice Requires="wps">
          <w:drawing>
            <wp:anchor distT="0" distB="0" distL="114300" distR="114300" simplePos="0" relativeHeight="251659264" behindDoc="0" locked="0" layoutInCell="1" allowOverlap="1">
              <wp:simplePos x="0" y="0"/>
              <wp:positionH relativeFrom="column">
                <wp:posOffset>5110480</wp:posOffset>
              </wp:positionH>
              <wp:positionV relativeFrom="paragraph">
                <wp:posOffset>144145</wp:posOffset>
              </wp:positionV>
              <wp:extent cx="1032510" cy="256540"/>
              <wp:effectExtent l="0" t="0" r="8890" b="10160"/>
              <wp:wrapNone/>
              <wp:docPr id="1" name="文本框 1"/>
              <wp:cNvGraphicFramePr/>
              <a:graphic xmlns:a="http://schemas.openxmlformats.org/drawingml/2006/main">
                <a:graphicData uri="http://schemas.microsoft.com/office/word/2010/wordprocessingShape">
                  <wps:wsp>
                    <wps:cNvSpPr txBox="1"/>
                    <wps:spPr>
                      <a:xfrm>
                        <a:off x="0" y="0"/>
                        <a:ext cx="1032510"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wps:txbx>
                    <wps:bodyPr upright="1"/>
                  </wps:wsp>
                </a:graphicData>
              </a:graphic>
            </wp:anchor>
          </w:drawing>
        </mc:Choice>
        <mc:Fallback>
          <w:pict>
            <v:shape id="_x0000_s1026" o:spid="_x0000_s1026" o:spt="202" type="#_x0000_t202" style="position:absolute;left:0pt;margin-left:402.4pt;margin-top:11.35pt;height:20.2pt;width:81.3pt;z-index:251659264;mso-width-relative:page;mso-height-relative:page;" fillcolor="#FFFFFF" filled="t" stroked="f" coordsize="21600,21600" o:gfxdata="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OiFnHdcAAAAJAQAADwAAAAAAAAABACAAAAAiAAAAZHJzL2Rvd25yZXYueG1s&#10;UEsBAhQAFAAAAAgAh07iQMoh3RLAAQAAdwMAAA4AAAAAAAAAAQAgAAAAJgEAAGRycy9lMm9Eb2Mu&#10;eG1sUEsFBgAAAAAGAAYAWQEAAFgFA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mc:Fallback>
      </mc:AlternateConten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0E4B63"/>
    <w:rsid w:val="31E96A6C"/>
    <w:rsid w:val="36616DE2"/>
    <w:rsid w:val="4A876247"/>
    <w:rsid w:val="771E32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1413</Words>
  <Characters>8060</Characters>
  <Lines>67</Lines>
  <Paragraphs>18</Paragraphs>
  <TotalTime>6</TotalTime>
  <ScaleCrop>false</ScaleCrop>
  <LinksUpToDate>false</LinksUpToDate>
  <CharactersWithSpaces>9455</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春华秋实</cp:lastModifiedBy>
  <dcterms:modified xsi:type="dcterms:W3CDTF">2021-11-08T01:34:55Z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934DB2ED2F1A4C67972F73DEF3B10301</vt:lpwstr>
  </property>
  <property fmtid="{D5CDD505-2E9C-101B-9397-08002B2CF9AE}" pid="3" name="KSOProductBuildVer">
    <vt:lpwstr>2052-11.1.0.11045</vt:lpwstr>
  </property>
</Properties>
</file>