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0613-2020-Q-2021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保定佰源新材料科技有限公司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保定佰源新材料科技有限公司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rPr>
                <w:rFonts w:asciiTheme="minorEastAsia" w:hAnsiTheme="minorEastAsia" w:eastAsiaTheme="minorEastAsia"/>
                <w:sz w:val="20"/>
              </w:rPr>
              <w:t>保定市竞秀区</w:t>
            </w:r>
            <w:bookmarkEnd w:id="6"/>
            <w:r>
              <w:rPr>
                <w:rFonts w:hint="eastAsia" w:asciiTheme="minorEastAsia" w:hAnsiTheme="minorEastAsia" w:eastAsiaTheme="minorEastAsia"/>
                <w:sz w:val="20"/>
                <w:lang w:val="en-US" w:eastAsia="zh-CN"/>
              </w:rPr>
              <w:t>韩村乡韩村188号厂房</w:t>
            </w:r>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河北省保定市高碑店经济技术开发区科苑北路</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李兵</w:t>
            </w:r>
            <w:bookmarkEnd w:id="10"/>
          </w:p>
        </w:tc>
        <w:tc>
          <w:tcPr>
            <w:tcW w:w="1313" w:type="dxa"/>
            <w:vAlign w:val="center"/>
          </w:tcPr>
          <w:p>
            <w:r>
              <w:rPr>
                <w:rFonts w:hint="eastAsia"/>
              </w:rPr>
              <w:t>电话.</w:t>
            </w:r>
          </w:p>
        </w:tc>
        <w:tc>
          <w:tcPr>
            <w:tcW w:w="2180" w:type="dxa"/>
            <w:vAlign w:val="center"/>
          </w:tcPr>
          <w:p>
            <w:bookmarkStart w:id="11" w:name="联系人电话"/>
            <w:r>
              <w:t>0312-5955201</w:t>
            </w:r>
            <w:bookmarkEnd w:id="11"/>
          </w:p>
        </w:tc>
        <w:tc>
          <w:tcPr>
            <w:tcW w:w="1242" w:type="dxa"/>
            <w:vAlign w:val="center"/>
          </w:tcPr>
          <w:p>
            <w:r>
              <w:rPr>
                <w:rFonts w:hint="eastAsia"/>
              </w:rPr>
              <w:t>传真</w:t>
            </w:r>
          </w:p>
        </w:tc>
        <w:tc>
          <w:tcPr>
            <w:tcW w:w="1771" w:type="dxa"/>
          </w:tcPr>
          <w:p>
            <w:bookmarkStart w:id="12" w:name="联系人传真"/>
            <w:r>
              <w:t>0312-5955201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李华</w:t>
            </w:r>
            <w:bookmarkEnd w:id="13"/>
          </w:p>
        </w:tc>
        <w:tc>
          <w:tcPr>
            <w:tcW w:w="1313" w:type="dxa"/>
            <w:vAlign w:val="center"/>
          </w:tcPr>
          <w:p>
            <w:r>
              <w:rPr>
                <w:rFonts w:hint="eastAsia"/>
              </w:rPr>
              <w:t>管理者代表</w:t>
            </w:r>
          </w:p>
        </w:tc>
        <w:tc>
          <w:tcPr>
            <w:tcW w:w="2180" w:type="dxa"/>
          </w:tcPr>
          <w:p>
            <w:bookmarkStart w:id="14" w:name="管理者代表"/>
            <w:r>
              <w:t>王兴品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szCs w:val="20"/>
              </w:rPr>
            </w:pPr>
            <w:r>
              <w:rPr>
                <w:rFonts w:hint="eastAsia" w:ascii="楷体" w:hAnsi="楷体" w:eastAsia="楷体" w:cs="宋体"/>
                <w:szCs w:val="20"/>
              </w:rPr>
              <w:t>料斗上料 → 物料塑化挤出 → 吹胀牵引 → 风环冷却 → 人字夹板 → 牵引辊牵引 → 电晕处理 → 薄膜收卷</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2021年11月08日 上午至2021年11月09日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河北省保定市高碑店经济技术开发区科苑北路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真空辅助材料的加工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  公司产品依据顾客技术要求和协议标准进行加工，客户提供明确的技术参数及原料采购要求，生产和检验的要求均由客户方提供。因此标准8.3条款“产品和服务的设计和开发”要求不适用。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10-11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31"/>
        <w:gridCol w:w="14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31" w:type="dxa"/>
            <w:shd w:val="clear" w:color="auto" w:fill="F3F3F3"/>
            <w:tcMar>
              <w:left w:w="57" w:type="dxa"/>
              <w:right w:w="57" w:type="dxa"/>
            </w:tcMar>
          </w:tcPr>
          <w:p>
            <w:r>
              <w:rPr>
                <w:rFonts w:hint="eastAsia"/>
              </w:rPr>
              <w:t>审核范围（产品和过程）</w:t>
            </w:r>
          </w:p>
          <w:p/>
          <w:p/>
        </w:tc>
        <w:tc>
          <w:tcPr>
            <w:tcW w:w="14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保定佰源新材料科技有限公司</w:t>
            </w:r>
            <w:r>
              <w:rPr>
                <w:rFonts w:hint="eastAsia"/>
                <w:sz w:val="21"/>
                <w:szCs w:val="21"/>
                <w:lang w:val="en-US" w:eastAsia="zh-CN"/>
              </w:rPr>
              <w:t xml:space="preserve"> 保定市竞秀区韩村乡韩村188号厂房</w:t>
            </w:r>
          </w:p>
        </w:tc>
        <w:tc>
          <w:tcPr>
            <w:tcW w:w="2267" w:type="dxa"/>
          </w:tcPr>
          <w:p>
            <w:pPr>
              <w:rPr>
                <w:lang w:val="de-DE" w:eastAsia="ja-JP"/>
              </w:rPr>
            </w:pPr>
            <w:r>
              <w:rPr>
                <w:rFonts w:asciiTheme="minorEastAsia" w:hAnsiTheme="minorEastAsia" w:eastAsiaTheme="minorEastAsia"/>
                <w:sz w:val="20"/>
              </w:rPr>
              <w:t>河北省保定市高碑店经济技术开发区科苑北路</w:t>
            </w:r>
          </w:p>
        </w:tc>
        <w:tc>
          <w:tcPr>
            <w:tcW w:w="571" w:type="dxa"/>
            <w:vAlign w:val="center"/>
          </w:tcPr>
          <w:p>
            <w:pPr>
              <w:rPr>
                <w:rFonts w:hint="default" w:eastAsia="宋体"/>
                <w:lang w:val="en-US" w:eastAsia="zh-CN"/>
              </w:rPr>
            </w:pPr>
            <w:r>
              <w:rPr>
                <w:rFonts w:hint="eastAsia"/>
                <w:lang w:val="en-US" w:eastAsia="zh-CN"/>
              </w:rPr>
              <w:t>60</w:t>
            </w:r>
          </w:p>
        </w:tc>
        <w:tc>
          <w:tcPr>
            <w:tcW w:w="2031" w:type="dxa"/>
            <w:vAlign w:val="center"/>
          </w:tcPr>
          <w:p>
            <w:pPr>
              <w:rPr>
                <w:lang w:eastAsia="ja-JP"/>
              </w:rPr>
            </w:pPr>
            <w:r>
              <w:rPr>
                <w:sz w:val="20"/>
              </w:rPr>
              <w:t>真空辅助材料的加工</w:t>
            </w:r>
          </w:p>
        </w:tc>
        <w:tc>
          <w:tcPr>
            <w:tcW w:w="1441" w:type="dxa"/>
            <w:vAlign w:val="center"/>
          </w:tcPr>
          <w:p>
            <w:pPr>
              <w:rPr>
                <w:lang w:eastAsia="ja-JP"/>
              </w:rPr>
            </w:pPr>
            <w:r>
              <w:rPr>
                <w:rFonts w:hint="eastAsia" w:ascii="宋体" w:hAnsi="宋体"/>
                <w:b/>
                <w:sz w:val="21"/>
                <w:szCs w:val="21"/>
              </w:rPr>
              <w:t xml:space="preserve">GB/T19001-2016/ISO 9001:2015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31" w:type="dxa"/>
            <w:vAlign w:val="center"/>
          </w:tcPr>
          <w:p>
            <w:pPr>
              <w:rPr>
                <w:lang w:eastAsia="ja-JP"/>
              </w:rPr>
            </w:pPr>
          </w:p>
        </w:tc>
        <w:tc>
          <w:tcPr>
            <w:tcW w:w="14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注册地址变更为：保定市竞秀区韩村乡韩村188号厂房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pPr>
        <w:pStyle w:val="2"/>
      </w:pPr>
    </w:p>
    <w:p>
      <w:pPr>
        <w:pStyle w:val="2"/>
      </w:pP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真空辅助材料的加工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bookmarkStart w:id="34" w:name="_GoBack"/>
            <w:bookmarkEnd w:id="34"/>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rPr>
            </w:pPr>
            <w:r>
              <w:rPr>
                <w:rFonts w:hint="eastAsia"/>
              </w:rPr>
              <w:t>可能降低可靠性的障碍</w:t>
            </w:r>
          </w:p>
        </w:tc>
        <w:tc>
          <w:tcPr>
            <w:tcW w:w="8350" w:type="dxa"/>
            <w:gridSpan w:val="2"/>
            <w:shd w:val="clear" w:color="auto" w:fill="auto"/>
            <w:vAlign w:val="center"/>
          </w:tcPr>
          <w:p>
            <w:pPr>
              <w:rPr>
                <w:rFonts w:hint="eastAsia"/>
              </w:rPr>
            </w:pPr>
            <w:r>
              <w:rPr>
                <w:rFonts w:hint="eastAsia"/>
              </w:rPr>
              <w:sym w:font="Wingdings 2" w:char="0052"/>
            </w:r>
            <w:r>
              <w:rPr>
                <w:rFonts w:hint="eastAsia"/>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rPr>
            </w:pPr>
            <w:r>
              <w:rPr>
                <w:rFonts w:hint="eastAsia"/>
              </w:rPr>
              <w:t>突发事件的情况</w:t>
            </w:r>
          </w:p>
        </w:tc>
        <w:tc>
          <w:tcPr>
            <w:tcW w:w="8350" w:type="dxa"/>
            <w:gridSpan w:val="2"/>
            <w:shd w:val="clear" w:color="auto" w:fill="auto"/>
            <w:vAlign w:val="center"/>
          </w:tcPr>
          <w:p>
            <w:pPr>
              <w:rPr>
                <w:rFonts w:hint="eastAsia"/>
              </w:rPr>
            </w:pPr>
            <w:r>
              <w:rPr>
                <w:rFonts w:hint="eastAsia"/>
              </w:rPr>
              <w:sym w:font="Wingdings 2" w:char="0052"/>
            </w:r>
            <w:r>
              <w:rPr>
                <w:rFonts w:hint="eastAsia"/>
              </w:rPr>
              <w:t>未发生□有发生，说明：</w:t>
            </w:r>
          </w:p>
        </w:tc>
      </w:tr>
    </w:tbl>
    <w:tbl>
      <w:tblPr>
        <w:tblStyle w:val="8"/>
        <w:tblpPr w:leftFromText="180" w:rightFromText="180" w:vertAnchor="text" w:horzAnchor="page" w:tblpX="944" w:tblpY="411"/>
        <w:tblOverlap w:val="never"/>
        <w:tblW w:w="10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vAlign w:val="center"/>
          </w:tcPr>
          <w:p>
            <w:pPr>
              <w:rPr>
                <w:rFonts w:hint="eastAsia"/>
              </w:rPr>
            </w:pPr>
            <w:r>
              <w:rPr>
                <w:rFonts w:hint="eastAsia"/>
              </w:rPr>
              <w:t>突发事件的处置措施</w:t>
            </w:r>
          </w:p>
        </w:tc>
        <w:tc>
          <w:tcPr>
            <w:tcW w:w="8294" w:type="dxa"/>
            <w:gridSpan w:val="3"/>
            <w:tcMar>
              <w:left w:w="113" w:type="dxa"/>
            </w:tcMar>
            <w:vAlign w:val="center"/>
          </w:tcPr>
          <w:p>
            <w:pPr>
              <w:rPr>
                <w:rFonts w:hint="eastAsia"/>
              </w:rPr>
            </w:pPr>
            <w:r>
              <w:rPr>
                <w:rFonts w:hint="eastAsia"/>
              </w:rPr>
              <w:t>□中止审核□终止审核</w:t>
            </w:r>
            <w:r>
              <w:rPr>
                <w:rFonts w:hint="eastAsia"/>
                <w:lang w:eastAsia="zh-CN"/>
              </w:rPr>
              <w:t>□</w:t>
            </w:r>
            <w:r>
              <w:rPr>
                <w:rFonts w:hint="eastAsia"/>
              </w:rPr>
              <w:t>延迟审核□改为现场审核</w:t>
            </w:r>
          </w:p>
          <w:p>
            <w:pPr>
              <w:rPr>
                <w:rFonts w:hint="eastAsia"/>
              </w:rPr>
            </w:pPr>
            <w:r>
              <w:rPr>
                <w:rFonts w:hint="eastAsia"/>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vMerge w:val="restart"/>
            <w:vAlign w:val="center"/>
          </w:tcPr>
          <w:p>
            <w:pPr>
              <w:rPr>
                <w:rFonts w:hint="eastAsia"/>
              </w:rPr>
            </w:pPr>
            <w:r>
              <w:rPr>
                <w:rFonts w:hint="eastAsia"/>
              </w:rPr>
              <w:t>远程审核的有效性评价（适用时）</w:t>
            </w:r>
          </w:p>
        </w:tc>
        <w:tc>
          <w:tcPr>
            <w:tcW w:w="8294" w:type="dxa"/>
            <w:gridSpan w:val="3"/>
            <w:tcMar>
              <w:left w:w="113" w:type="dxa"/>
            </w:tcMar>
          </w:tcPr>
          <w:p>
            <w:pPr>
              <w:rPr>
                <w:rFonts w:hint="eastAsia"/>
              </w:rPr>
            </w:pPr>
            <w:r>
              <w:rPr>
                <w:rFonts w:hint="eastAsia"/>
              </w:rPr>
              <w:sym w:font="Wingdings 2" w:char="0052"/>
            </w:r>
            <w:r>
              <w:rPr>
                <w:rFonts w:hint="eastAsia"/>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vMerge w:val="continue"/>
            <w:vAlign w:val="center"/>
          </w:tcPr>
          <w:p>
            <w:pPr>
              <w:rPr>
                <w:rFonts w:hint="eastAsia"/>
              </w:rPr>
            </w:pPr>
          </w:p>
        </w:tc>
        <w:tc>
          <w:tcPr>
            <w:tcW w:w="8294" w:type="dxa"/>
            <w:gridSpan w:val="3"/>
            <w:tcMar>
              <w:left w:w="113" w:type="dxa"/>
            </w:tcMar>
          </w:tcPr>
          <w:p>
            <w:pPr>
              <w:rPr>
                <w:rFonts w:hint="eastAsia"/>
              </w:rPr>
            </w:pPr>
            <w:r>
              <w:rPr>
                <w:rFonts w:hint="eastAsia"/>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1842" w:type="dxa"/>
          </w:tcPr>
          <w:p>
            <w:pPr>
              <w:rPr>
                <w:rFonts w:hint="eastAsia"/>
              </w:rPr>
            </w:pPr>
            <w:r>
              <w:rPr>
                <w:rFonts w:hint="eastAsia"/>
              </w:rPr>
              <w:t>审核组长签字</w:t>
            </w:r>
          </w:p>
        </w:tc>
        <w:tc>
          <w:tcPr>
            <w:tcW w:w="2764" w:type="dxa"/>
            <w:tcMar>
              <w:left w:w="113" w:type="dxa"/>
            </w:tcMar>
          </w:tcPr>
          <w:p>
            <w:pPr>
              <w:rPr>
                <w:rFonts w:hint="eastAsia"/>
              </w:rPr>
            </w:pPr>
            <w:r>
              <w:rPr>
                <w:rFonts w:hint="eastAsia"/>
                <w:lang w:eastAsia="zh-CN"/>
              </w:rPr>
              <w:drawing>
                <wp:inline distT="0" distB="0" distL="114300" distR="114300">
                  <wp:extent cx="1123950" cy="286385"/>
                  <wp:effectExtent l="0" t="0" r="6350" b="5715"/>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6"/>
                          <a:stretch>
                            <a:fillRect/>
                          </a:stretch>
                        </pic:blipFill>
                        <pic:spPr>
                          <a:xfrm>
                            <a:off x="0" y="0"/>
                            <a:ext cx="1123950" cy="286385"/>
                          </a:xfrm>
                          <a:prstGeom prst="rect">
                            <a:avLst/>
                          </a:prstGeom>
                        </pic:spPr>
                      </pic:pic>
                    </a:graphicData>
                  </a:graphic>
                </wp:inline>
              </w:drawing>
            </w:r>
          </w:p>
          <w:p>
            <w:pPr>
              <w:rPr>
                <w:rFonts w:hint="eastAsia"/>
              </w:rPr>
            </w:pPr>
          </w:p>
        </w:tc>
        <w:tc>
          <w:tcPr>
            <w:tcW w:w="2764" w:type="dxa"/>
            <w:tcMar>
              <w:left w:w="113" w:type="dxa"/>
            </w:tcMar>
          </w:tcPr>
          <w:p>
            <w:pPr>
              <w:rPr>
                <w:rFonts w:hint="eastAsia"/>
              </w:rPr>
            </w:pPr>
            <w:r>
              <w:rPr>
                <w:rFonts w:hint="eastAsia"/>
              </w:rPr>
              <w:t>日期</w:t>
            </w:r>
          </w:p>
        </w:tc>
        <w:tc>
          <w:tcPr>
            <w:tcW w:w="2766" w:type="dxa"/>
            <w:tcMar>
              <w:left w:w="113" w:type="dxa"/>
            </w:tcMar>
            <w:vAlign w:val="center"/>
          </w:tcPr>
          <w:p>
            <w:pPr>
              <w:rPr>
                <w:rFonts w:hint="default"/>
                <w:lang w:val="en-US" w:eastAsia="zh-CN"/>
              </w:rPr>
            </w:pPr>
            <w:r>
              <w:rPr>
                <w:rFonts w:hint="eastAsia"/>
                <w:lang w:val="en-US" w:eastAsia="zh-CN"/>
              </w:rPr>
              <w:t>2021.11.18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w:t>
            </w:r>
            <w:r>
              <w:rPr>
                <w:rFonts w:hint="eastAsia"/>
              </w:rPr>
              <w:sym w:font="Wingdings 2" w:char="00A3"/>
            </w:r>
            <w:r>
              <w:rPr>
                <w:rFonts w:hint="eastAsia"/>
              </w:rPr>
              <w:t>生产/服务过程□检验检测</w:t>
            </w:r>
            <w:r>
              <w:rPr>
                <w:rFonts w:hint="eastAsia"/>
              </w:rPr>
              <w:sym w:font="Wingdings 2" w:char="0052"/>
            </w:r>
            <w:r>
              <w:rPr>
                <w:rFonts w:hint="eastAsia"/>
              </w:rPr>
              <w:t>产品运输□设备维修</w:t>
            </w:r>
          </w:p>
          <w:p>
            <w:pPr>
              <w:shd w:val="clear" w:color="auto" w:fill="C7DAF1" w:themeFill="text2" w:themeFillTint="32"/>
              <w:spacing w:before="40" w:after="40"/>
            </w:pPr>
            <w:r>
              <w:rPr>
                <w:rFonts w:hint="eastAsia"/>
              </w:rPr>
              <w:sym w:font="Wingdings 2" w:char="00A3"/>
            </w: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ind w:firstLine="210" w:firstLineChars="100"/>
              <w:rPr>
                <w:u w:val="single"/>
              </w:rPr>
            </w:pPr>
            <w:r>
              <w:rPr>
                <w:rFonts w:hint="eastAsia" w:cs="宋体"/>
                <w:szCs w:val="22"/>
                <w:u w:val="single"/>
                <w:lang w:eastAsia="zh-CN"/>
              </w:rPr>
              <w:t>科学管理，不断创新，诚信为本，人人满意。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受国际形势影响，原材料石化产品价格上涨，国内用工工资增加，市场不确定因素增加</w:t>
                  </w:r>
                </w:p>
              </w:tc>
              <w:tc>
                <w:tcPr>
                  <w:tcW w:w="396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国内基础建设投资加大，风力发电行业发展更是迅速。</w:t>
                  </w:r>
                </w:p>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r>
                    <w:rPr>
                      <w:rFonts w:hint="eastAsia"/>
                      <w:lang w:val="en-US" w:eastAsia="zh-CN"/>
                    </w:rPr>
                    <w:t xml:space="preserve"> 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28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9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shd w:val="clear" w:color="auto" w:fill="auto"/>
                  <w:vAlign w:val="center"/>
                </w:tcPr>
                <w:p>
                  <w:pPr>
                    <w:keepNext w:val="0"/>
                    <w:keepLines w:val="0"/>
                    <w:widowControl/>
                    <w:suppressLineNumbers w:val="0"/>
                    <w:jc w:val="left"/>
                    <w:textAlignment w:val="center"/>
                  </w:pPr>
                  <w:r>
                    <w:rPr>
                      <w:rFonts w:hint="eastAsia"/>
                      <w:szCs w:val="21"/>
                    </w:rPr>
                    <w:t>成品检验合格率</w:t>
                  </w:r>
                  <w:r>
                    <w:rPr>
                      <w:rFonts w:hint="eastAsia"/>
                      <w:bCs/>
                      <w:szCs w:val="21"/>
                    </w:rPr>
                    <w:t>≥</w:t>
                  </w:r>
                  <w:r>
                    <w:rPr>
                      <w:rFonts w:hint="eastAsia"/>
                      <w:szCs w:val="21"/>
                    </w:rPr>
                    <w:t>98％</w:t>
                  </w:r>
                </w:p>
              </w:tc>
              <w:tc>
                <w:tcPr>
                  <w:tcW w:w="2893" w:type="dxa"/>
                  <w:shd w:val="clear" w:color="auto" w:fill="auto"/>
                  <w:vAlign w:val="center"/>
                </w:tcPr>
                <w:p>
                  <w:pPr>
                    <w:keepNext w:val="0"/>
                    <w:keepLines w:val="0"/>
                    <w:widowControl/>
                    <w:suppressLineNumbers w:val="0"/>
                    <w:jc w:val="left"/>
                    <w:textAlignment w:val="center"/>
                    <w:rPr>
                      <w:lang w:val="en-GB"/>
                    </w:rPr>
                  </w:pPr>
                  <w:r>
                    <w:rPr>
                      <w:rFonts w:hint="eastAsia"/>
                    </w:rPr>
                    <w:t>（产品生产总数-不合格产品数）/产品总数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shd w:val="clear" w:color="auto" w:fill="auto"/>
                  <w:vAlign w:val="center"/>
                </w:tcPr>
                <w:p>
                  <w:pPr>
                    <w:keepNext w:val="0"/>
                    <w:keepLines w:val="0"/>
                    <w:widowControl/>
                    <w:suppressLineNumbers w:val="0"/>
                    <w:jc w:val="left"/>
                    <w:textAlignment w:val="center"/>
                  </w:pPr>
                  <w:r>
                    <w:rPr>
                      <w:rFonts w:hint="eastAsia"/>
                    </w:rPr>
                    <w:t>顾客的满意率≥90％</w:t>
                  </w:r>
                </w:p>
              </w:tc>
              <w:tc>
                <w:tcPr>
                  <w:tcW w:w="2893" w:type="dxa"/>
                  <w:shd w:val="clear" w:color="auto" w:fill="auto"/>
                  <w:vAlign w:val="center"/>
                </w:tcPr>
                <w:p>
                  <w:pPr>
                    <w:keepNext w:val="0"/>
                    <w:keepLines w:val="0"/>
                    <w:widowControl/>
                    <w:suppressLineNumbers w:val="0"/>
                    <w:jc w:val="left"/>
                    <w:textAlignment w:val="center"/>
                    <w:rPr>
                      <w:rFonts w:ascii="宋体" w:hAnsi="宋体"/>
                    </w:rPr>
                  </w:pPr>
                  <w:r>
                    <w:rPr>
                      <w:rFonts w:hint="eastAsia" w:ascii="宋体" w:hAnsi="宋体" w:eastAsia="宋体" w:cs="宋体"/>
                      <w:i w:val="0"/>
                      <w:iCs w:val="0"/>
                      <w:color w:val="000000"/>
                      <w:kern w:val="0"/>
                      <w:sz w:val="20"/>
                      <w:szCs w:val="20"/>
                      <w:u w:val="none"/>
                      <w:lang w:val="en-US" w:eastAsia="zh-CN" w:bidi="ar"/>
                    </w:rPr>
                    <w:t>按调查表统计</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shd w:val="clear" w:color="auto" w:fill="auto"/>
                  <w:vAlign w:val="center"/>
                </w:tcPr>
                <w:p>
                  <w:pPr>
                    <w:keepNext w:val="0"/>
                    <w:keepLines w:val="0"/>
                    <w:widowControl/>
                    <w:suppressLineNumbers w:val="0"/>
                    <w:jc w:val="left"/>
                    <w:textAlignment w:val="center"/>
                  </w:pPr>
                </w:p>
              </w:tc>
              <w:tc>
                <w:tcPr>
                  <w:tcW w:w="2893" w:type="dxa"/>
                  <w:shd w:val="clear" w:color="auto" w:fill="auto"/>
                  <w:vAlign w:val="center"/>
                </w:tcPr>
                <w:p>
                  <w:pPr>
                    <w:keepNext w:val="0"/>
                    <w:keepLines w:val="0"/>
                    <w:widowControl/>
                    <w:suppressLineNumbers w:val="0"/>
                    <w:jc w:val="left"/>
                    <w:textAlignment w:val="center"/>
                    <w:rPr>
                      <w:rFonts w:ascii="宋体" w:hAnsi="宋体"/>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shd w:val="clear" w:color="auto" w:fill="auto"/>
                  <w:vAlign w:val="center"/>
                </w:tcPr>
                <w:p>
                  <w:pPr>
                    <w:keepNext w:val="0"/>
                    <w:keepLines w:val="0"/>
                    <w:widowControl/>
                    <w:suppressLineNumbers w:val="0"/>
                    <w:jc w:val="left"/>
                    <w:textAlignment w:val="center"/>
                  </w:pPr>
                </w:p>
              </w:tc>
              <w:tc>
                <w:tcPr>
                  <w:tcW w:w="2893" w:type="dxa"/>
                  <w:shd w:val="clear" w:color="auto" w:fill="auto"/>
                  <w:vAlign w:val="center"/>
                </w:tcPr>
                <w:p>
                  <w:pPr>
                    <w:keepNext w:val="0"/>
                    <w:keepLines w:val="0"/>
                    <w:widowControl/>
                    <w:suppressLineNumbers w:val="0"/>
                    <w:jc w:val="left"/>
                    <w:textAlignment w:val="center"/>
                    <w:rPr>
                      <w:rFonts w:ascii="宋体" w:hAnsi="宋体"/>
                    </w:rPr>
                  </w:pP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shd w:val="clear" w:color="auto" w:fill="auto"/>
                </w:tcPr>
                <w:p>
                  <w:pPr>
                    <w:shd w:val="clear" w:color="auto" w:fill="C7DAF1" w:themeFill="text2" w:themeFillTint="32"/>
                  </w:pPr>
                </w:p>
              </w:tc>
              <w:tc>
                <w:tcPr>
                  <w:tcW w:w="2893"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车间3000平方，办公区域260平方，仓库3000平方。</w:t>
            </w:r>
          </w:p>
          <w:p>
            <w:pPr>
              <w:shd w:val="clear" w:color="auto" w:fill="C7DAF1" w:themeFill="text2" w:themeFillTint="32"/>
              <w:rPr>
                <w:u w:val="single"/>
              </w:rPr>
            </w:pPr>
            <w:r>
              <w:rPr>
                <w:rFonts w:hint="eastAsia"/>
              </w:rPr>
              <w:t>主要生产设备有：五层共挤吹塑生产线、挤出生产设备、前道整经设备、穿综扒扣设备等</w:t>
            </w:r>
            <w:r>
              <w:rPr>
                <w:rFonts w:hint="eastAsia"/>
                <w:lang w:val="en-US" w:eastAsia="zh-CN"/>
              </w:rPr>
              <w:t xml:space="preserve">                    </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国家强检的计量器具有：拉力测试机</w:t>
            </w:r>
            <w:r>
              <w:rPr>
                <w:rFonts w:hint="eastAsia"/>
                <w:lang w:eastAsia="zh-CN"/>
              </w:rPr>
              <w:t>、千分尺</w:t>
            </w:r>
            <w:r>
              <w:rPr>
                <w:rFonts w:hint="eastAsia"/>
                <w:u w:val="single"/>
              </w:rPr>
              <w:t>（列举1~4种）</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市场预测■企业标准</w:t>
            </w:r>
            <w:r>
              <w:rPr>
                <w:rFonts w:hint="eastAsia" w:ascii="Wingdings" w:hAnsi="Wingdings"/>
              </w:rPr>
              <w:t>¨</w:t>
            </w:r>
            <w:r>
              <w:rPr>
                <w:rFonts w:hint="eastAsia"/>
              </w:rPr>
              <w:t>其他</w:t>
            </w:r>
          </w:p>
          <w:p>
            <w:pPr>
              <w:shd w:val="clear" w:color="auto" w:fill="C7DAF1" w:themeFill="text2" w:themeFillTint="32"/>
            </w:pPr>
            <w:r>
              <w:rPr>
                <w:rFonts w:hint="eastAsia"/>
              </w:rPr>
              <w:t>外部知识: ■顾客提供资料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w:t>
            </w:r>
            <w:r>
              <w:rPr>
                <w:rFonts w:hint="eastAsia" w:ascii="Wingdings" w:hAnsi="Wingdings"/>
              </w:rPr>
              <w:t>¨</w:t>
            </w:r>
            <w:r>
              <w:rPr>
                <w:rFonts w:hint="eastAsia"/>
              </w:rPr>
              <w:t>换岗■培训■考核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w:t>
            </w:r>
            <w:r>
              <w:rPr>
                <w:rFonts w:hint="eastAsia" w:ascii="Wingdings" w:hAnsi="Wingdings"/>
              </w:rPr>
              <w:t>¨</w:t>
            </w:r>
            <w:r>
              <w:rPr>
                <w:rFonts w:hint="eastAsia"/>
              </w:rPr>
              <w:t>标语■培训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w:t>
            </w:r>
            <w:r>
              <w:rPr>
                <w:rFonts w:hint="eastAsia" w:ascii="Wingdings" w:hAnsi="Wingdings"/>
              </w:rPr>
              <w:t>¨</w:t>
            </w:r>
            <w:r>
              <w:rPr>
                <w:rFonts w:hint="eastAsia"/>
              </w:rPr>
              <w:t>委托加工</w:t>
            </w:r>
            <w:r>
              <w:rPr>
                <w:rFonts w:hint="eastAsia" w:ascii="Wingdings" w:hAnsi="Wingdings"/>
              </w:rPr>
              <w:t>¨</w:t>
            </w:r>
            <w:r>
              <w:rPr>
                <w:rFonts w:hint="eastAsia"/>
              </w:rPr>
              <w:t>顾客要求■运输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真空辅助材料的加工</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物料塑化挤出、吹胀牵引、电晕处理</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 xml:space="preserve"> 温度、压力、电极功率等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三包维修■赔偿■道歉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vAlign w:val="top"/>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vAlign w:val="top"/>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vAlign w:val="top"/>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vAlign w:val="top"/>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vAlign w:val="top"/>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vAlign w:val="top"/>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pPr w:leftFromText="180" w:rightFromText="180" w:vertAnchor="text" w:horzAnchor="page" w:tblpX="978" w:tblpY="126"/>
        <w:tblOverlap w:val="never"/>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0F613C"/>
    <w:rsid w:val="0D813912"/>
    <w:rsid w:val="10C009C2"/>
    <w:rsid w:val="10D02755"/>
    <w:rsid w:val="1BBC26CD"/>
    <w:rsid w:val="1CC97B8D"/>
    <w:rsid w:val="1E2B59A9"/>
    <w:rsid w:val="34D34064"/>
    <w:rsid w:val="4A147E94"/>
    <w:rsid w:val="6B167A0B"/>
    <w:rsid w:val="6E637175"/>
    <w:rsid w:val="73952FB8"/>
    <w:rsid w:val="73D3428E"/>
    <w:rsid w:val="7B33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2021-11-18T12:37:36Z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