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1141-2021-QEO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江西江灵教育装备有限公司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23"/>
        <w:gridCol w:w="1313"/>
        <w:gridCol w:w="2505"/>
        <w:gridCol w:w="91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98" w:type="dxa"/>
            <w:vAlign w:val="center"/>
          </w:tcPr>
          <w:p>
            <w:r>
              <w:rPr>
                <w:rFonts w:hint="eastAsia"/>
              </w:rPr>
              <w:t>受审核方名称</w:t>
            </w:r>
          </w:p>
        </w:tc>
        <w:tc>
          <w:tcPr>
            <w:tcW w:w="7829" w:type="dxa"/>
            <w:gridSpan w:val="5"/>
          </w:tcPr>
          <w:p>
            <w:bookmarkStart w:id="5" w:name="组织名称Add1"/>
            <w:r>
              <w:t>江西江灵教育装备有限公司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98" w:type="dxa"/>
            <w:vAlign w:val="center"/>
          </w:tcPr>
          <w:p>
            <w:r>
              <w:rPr>
                <w:rFonts w:hint="eastAsia"/>
              </w:rPr>
              <w:t>注册地址</w:t>
            </w:r>
          </w:p>
        </w:tc>
        <w:tc>
          <w:tcPr>
            <w:tcW w:w="5141" w:type="dxa"/>
            <w:gridSpan w:val="3"/>
          </w:tcPr>
          <w:p>
            <w:bookmarkStart w:id="6" w:name="注册地址"/>
            <w:r>
              <w:t>江西省抚州市南城县校具产业园科创园综合大楼三楼</w:t>
            </w:r>
            <w:bookmarkEnd w:id="6"/>
          </w:p>
        </w:tc>
        <w:tc>
          <w:tcPr>
            <w:tcW w:w="917" w:type="dxa"/>
            <w:vMerge w:val="restart"/>
            <w:vAlign w:val="center"/>
          </w:tcPr>
          <w:p>
            <w:r>
              <w:rPr>
                <w:rFonts w:hint="eastAsia"/>
              </w:rPr>
              <w:t>邮编</w:t>
            </w:r>
          </w:p>
        </w:tc>
        <w:tc>
          <w:tcPr>
            <w:tcW w:w="1771" w:type="dxa"/>
          </w:tcPr>
          <w:p>
            <w:bookmarkStart w:id="7" w:name="注册邮编"/>
            <w:r>
              <w:t>344700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98" w:type="dxa"/>
            <w:vAlign w:val="center"/>
          </w:tcPr>
          <w:p>
            <w:r>
              <w:rPr>
                <w:rFonts w:hint="eastAsia"/>
              </w:rPr>
              <w:t>经营地址</w:t>
            </w:r>
          </w:p>
        </w:tc>
        <w:tc>
          <w:tcPr>
            <w:tcW w:w="5141" w:type="dxa"/>
            <w:gridSpan w:val="3"/>
          </w:tcPr>
          <w:p>
            <w:bookmarkStart w:id="8" w:name="生产地址"/>
            <w:r>
              <w:t>江西省抚州市南城县校具产业园科创园综合大楼三楼</w:t>
            </w:r>
            <w:bookmarkEnd w:id="8"/>
          </w:p>
        </w:tc>
        <w:tc>
          <w:tcPr>
            <w:tcW w:w="917" w:type="dxa"/>
            <w:vMerge w:val="continue"/>
            <w:vAlign w:val="center"/>
          </w:tcPr>
          <w:p/>
        </w:tc>
        <w:tc>
          <w:tcPr>
            <w:tcW w:w="1771" w:type="dxa"/>
          </w:tcPr>
          <w:p>
            <w:bookmarkStart w:id="9" w:name="办公邮编"/>
            <w:r>
              <w:t>344700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98" w:type="dxa"/>
            <w:vAlign w:val="center"/>
          </w:tcPr>
          <w:p>
            <w:r>
              <w:rPr>
                <w:rFonts w:hint="eastAsia"/>
              </w:rPr>
              <w:t>联系人</w:t>
            </w:r>
          </w:p>
        </w:tc>
        <w:tc>
          <w:tcPr>
            <w:tcW w:w="1323" w:type="dxa"/>
          </w:tcPr>
          <w:p>
            <w:bookmarkStart w:id="10" w:name="联系人"/>
            <w:r>
              <w:t>赵广印</w:t>
            </w:r>
            <w:bookmarkEnd w:id="10"/>
          </w:p>
        </w:tc>
        <w:tc>
          <w:tcPr>
            <w:tcW w:w="1313" w:type="dxa"/>
            <w:vAlign w:val="center"/>
          </w:tcPr>
          <w:p>
            <w:r>
              <w:rPr>
                <w:rFonts w:hint="eastAsia"/>
              </w:rPr>
              <w:t>电话.</w:t>
            </w:r>
          </w:p>
        </w:tc>
        <w:tc>
          <w:tcPr>
            <w:tcW w:w="2505" w:type="dxa"/>
            <w:vAlign w:val="center"/>
          </w:tcPr>
          <w:p>
            <w:bookmarkStart w:id="11" w:name="联系人电话"/>
            <w:r>
              <w:t>18653087110</w:t>
            </w:r>
            <w:bookmarkEnd w:id="11"/>
          </w:p>
        </w:tc>
        <w:tc>
          <w:tcPr>
            <w:tcW w:w="917"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r>
              <w:rPr>
                <w:rFonts w:hint="eastAsia"/>
              </w:rPr>
              <w:t>法人代表</w:t>
            </w:r>
          </w:p>
        </w:tc>
        <w:tc>
          <w:tcPr>
            <w:tcW w:w="1323" w:type="dxa"/>
          </w:tcPr>
          <w:p>
            <w:bookmarkStart w:id="13" w:name="法人"/>
            <w:r>
              <w:t>张江涛</w:t>
            </w:r>
            <w:bookmarkEnd w:id="13"/>
          </w:p>
        </w:tc>
        <w:tc>
          <w:tcPr>
            <w:tcW w:w="1313" w:type="dxa"/>
            <w:vAlign w:val="center"/>
          </w:tcPr>
          <w:p>
            <w:r>
              <w:rPr>
                <w:rFonts w:hint="eastAsia"/>
              </w:rPr>
              <w:t>管理者代表</w:t>
            </w:r>
          </w:p>
        </w:tc>
        <w:tc>
          <w:tcPr>
            <w:tcW w:w="2505" w:type="dxa"/>
          </w:tcPr>
          <w:p>
            <w:bookmarkStart w:id="14" w:name="管理者代表"/>
            <w:r>
              <w:t>赵广印</w:t>
            </w:r>
            <w:bookmarkEnd w:id="14"/>
          </w:p>
        </w:tc>
        <w:tc>
          <w:tcPr>
            <w:tcW w:w="917"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98" w:type="dxa"/>
            <w:shd w:val="clear" w:color="auto" w:fill="auto"/>
          </w:tcPr>
          <w:p>
            <w:r>
              <w:rPr>
                <w:rFonts w:hint="eastAsia"/>
                <w:highlight w:val="none"/>
              </w:rPr>
              <w:t>多班次说明</w:t>
            </w:r>
          </w:p>
        </w:tc>
        <w:tc>
          <w:tcPr>
            <w:tcW w:w="7829"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98" w:type="dxa"/>
            <w:shd w:val="clear" w:color="auto" w:fill="auto"/>
          </w:tcPr>
          <w:p>
            <w:r>
              <w:rPr>
                <w:rFonts w:hint="eastAsia"/>
              </w:rPr>
              <w:t>生产/服务提供流程简图</w:t>
            </w:r>
          </w:p>
          <w:p/>
        </w:tc>
        <w:tc>
          <w:tcPr>
            <w:tcW w:w="7829" w:type="dxa"/>
            <w:gridSpan w:val="5"/>
            <w:shd w:val="clear" w:color="auto" w:fill="auto"/>
          </w:tcPr>
          <w:p>
            <w:r>
              <w:rPr>
                <w:rFonts w:hint="eastAsia" w:ascii="宋体"/>
                <w:color w:val="000000"/>
                <w:szCs w:val="21"/>
              </w:rPr>
              <w:t>客户洽谈---合同签订---供方选择---采购实施---验货---发货--客户--验货---满意度调查</w:t>
            </w:r>
          </w:p>
        </w:tc>
      </w:tr>
    </w:tbl>
    <w:p/>
    <w:p>
      <w:r>
        <w:rPr>
          <w:rFonts w:hint="eastAsia"/>
        </w:rPr>
        <w:t>二、本次审核信息</w:t>
      </w:r>
    </w:p>
    <w:tbl>
      <w:tblPr>
        <w:tblStyle w:val="8"/>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1"/>
        <w:gridCol w:w="1009"/>
        <w:gridCol w:w="2733"/>
        <w:gridCol w:w="330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910" w:type="dxa"/>
            <w:gridSpan w:val="2"/>
          </w:tcPr>
          <w:p>
            <w:r>
              <w:rPr>
                <w:rFonts w:hint="eastAsia"/>
              </w:rPr>
              <w:t>审核日期</w:t>
            </w:r>
          </w:p>
        </w:tc>
        <w:tc>
          <w:tcPr>
            <w:tcW w:w="7831" w:type="dxa"/>
            <w:gridSpan w:val="3"/>
            <w:tcMar>
              <w:left w:w="113" w:type="dxa"/>
            </w:tcMar>
          </w:tcPr>
          <w:p>
            <w:bookmarkStart w:id="15" w:name="审核日期"/>
            <w:r>
              <w:rPr>
                <w:rFonts w:hint="eastAsia"/>
              </w:rPr>
              <w:t>2021年11月05日上午至2021年11月06日下午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jc w:val="center"/>
        </w:trPr>
        <w:tc>
          <w:tcPr>
            <w:tcW w:w="1910"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jc w:val="center"/>
        </w:trPr>
        <w:tc>
          <w:tcPr>
            <w:tcW w:w="1910"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bookmarkStart w:id="23" w:name="S勾选Add1"/>
          </w:p>
          <w:p>
            <w:pPr>
              <w:rPr>
                <w:lang w:val="de-DE"/>
              </w:rPr>
            </w:pPr>
            <w:r>
              <w:rPr>
                <w:rFonts w:hint="eastAsia"/>
                <w:lang w:val="de-DE"/>
              </w:rPr>
              <w:t>■</w:t>
            </w:r>
            <w:bookmarkEnd w:id="23"/>
            <w:r>
              <w:rPr>
                <w:rFonts w:hint="eastAsia"/>
              </w:rPr>
              <w:t>GB/T45001-2020/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1910"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910"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910"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2" w:hRule="exact"/>
          <w:jc w:val="center"/>
        </w:trPr>
        <w:tc>
          <w:tcPr>
            <w:tcW w:w="1910"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auto"/>
                <w:szCs w:val="21"/>
                <w:lang w:val="en-US" w:eastAsia="zh-CN"/>
              </w:rPr>
              <w:t>现场审核地址：</w:t>
            </w:r>
            <w:r>
              <w:rPr>
                <w:rFonts w:hint="eastAsia" w:ascii="宋体"/>
                <w:b/>
                <w:color w:val="auto"/>
                <w:szCs w:val="21"/>
              </w:rPr>
              <w:t>江西省抚州市南城县校具产业园科创园综合大楼三楼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910"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1910"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910"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1" w:type="dxa"/>
            <w:vMerge w:val="restart"/>
            <w:vAlign w:val="center"/>
          </w:tcPr>
          <w:p>
            <w:r>
              <w:rPr>
                <w:rFonts w:hint="eastAsia"/>
              </w:rPr>
              <w:t>审核范围</w:t>
            </w:r>
          </w:p>
          <w:p/>
        </w:tc>
        <w:tc>
          <w:tcPr>
            <w:tcW w:w="7045" w:type="dxa"/>
            <w:gridSpan w:val="3"/>
            <w:vMerge w:val="restart"/>
            <w:vAlign w:val="center"/>
          </w:tcPr>
          <w:p>
            <w:bookmarkStart w:id="29" w:name="审核范围"/>
            <w:r>
              <w:t>Q：教学专用仪器、家具、教学用模型及教具、家用电器、体育用品及器材、办公用品、服装、电子产品、塑料制品、厨具、玩具、照相器材、音响设备、广播电视传输设备的销售</w:t>
            </w:r>
          </w:p>
          <w:p>
            <w:r>
              <w:t>E：教学专用仪器、家具、教学用模型及教具、家用电器、体育用品及器材、办公用品、服装、电子产品、塑料制品、厨具、玩具、照相器材、音响设备、广播电视传输设备的销售所涉及场所的相关环境管理活动</w:t>
            </w:r>
          </w:p>
          <w:p>
            <w:r>
              <w:t>O：教学专用仪器、家具、教学用模型及教具、家用电器、体育用品及器材、办公用品、服装、电子产品、塑料制品、厨具、玩具、照相器材、音响设备、广播电视传输设备的销售所涉及场所的相关职业健康安全管理活动</w:t>
            </w:r>
            <w:bookmarkEnd w:id="29"/>
          </w:p>
        </w:tc>
        <w:tc>
          <w:tcPr>
            <w:tcW w:w="179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901" w:type="dxa"/>
            <w:vMerge w:val="continue"/>
            <w:vAlign w:val="center"/>
          </w:tcPr>
          <w:p/>
        </w:tc>
        <w:tc>
          <w:tcPr>
            <w:tcW w:w="7045" w:type="dxa"/>
            <w:gridSpan w:val="3"/>
            <w:vMerge w:val="continue"/>
            <w:vAlign w:val="center"/>
          </w:tcPr>
          <w:p/>
        </w:tc>
        <w:tc>
          <w:tcPr>
            <w:tcW w:w="179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10"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10"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10" w:type="dxa"/>
            <w:gridSpan w:val="2"/>
            <w:vAlign w:val="center"/>
          </w:tcPr>
          <w:p>
            <w:r>
              <w:rPr>
                <w:rFonts w:hint="eastAsia"/>
              </w:rPr>
              <w:t>体系文件实施时间</w:t>
            </w:r>
          </w:p>
        </w:tc>
        <w:tc>
          <w:tcPr>
            <w:tcW w:w="2733" w:type="dxa"/>
          </w:tcPr>
          <w:p>
            <w:r>
              <w:rPr>
                <w:rFonts w:hint="eastAsia"/>
              </w:rPr>
              <w:t>2021年3月10日</w:t>
            </w:r>
          </w:p>
        </w:tc>
        <w:tc>
          <w:tcPr>
            <w:tcW w:w="3303" w:type="dxa"/>
            <w:vAlign w:val="center"/>
          </w:tcPr>
          <w:p>
            <w:r>
              <w:rPr>
                <w:rFonts w:hint="eastAsia"/>
              </w:rPr>
              <w:t>管理体系运行已超过3个月</w:t>
            </w:r>
          </w:p>
        </w:tc>
        <w:tc>
          <w:tcPr>
            <w:tcW w:w="179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0"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4</w:t>
            </w:r>
            <w:r>
              <w:rPr>
                <w:rFonts w:hint="eastAsia"/>
              </w:rPr>
              <w:t>日</w:t>
            </w:r>
          </w:p>
        </w:tc>
        <w:tc>
          <w:tcPr>
            <w:tcW w:w="3303" w:type="dxa"/>
            <w:vAlign w:val="center"/>
          </w:tcPr>
          <w:p>
            <w:r>
              <w:rPr>
                <w:rFonts w:hint="eastAsia"/>
              </w:rPr>
              <w:t>认证证书有效期</w:t>
            </w:r>
          </w:p>
          <w:p>
            <w:r>
              <w:rPr>
                <w:rFonts w:hint="eastAsia"/>
              </w:rPr>
              <w:t>（初审除外）</w:t>
            </w:r>
          </w:p>
        </w:tc>
        <w:tc>
          <w:tcPr>
            <w:tcW w:w="179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黑体"/>
                <w:szCs w:val="21"/>
                <w:lang w:val="de-DE" w:eastAsia="ja-JP"/>
              </w:rPr>
            </w:pPr>
            <w:r>
              <w:rPr>
                <w:rFonts w:hint="eastAsia" w:eastAsia="黑体"/>
                <w:szCs w:val="21"/>
                <w:lang w:val="de-DE" w:eastAsia="ja-JP"/>
              </w:rPr>
              <w:t>江西江灵教育装备有限公司</w:t>
            </w:r>
          </w:p>
          <w:p>
            <w:pPr>
              <w:spacing w:before="40" w:after="40"/>
              <w:rPr>
                <w:rFonts w:hint="eastAsia" w:ascii="Times New Roman" w:hAnsi="Times New Roman" w:eastAsia="黑体" w:cs="Times New Roman"/>
                <w:kern w:val="2"/>
                <w:sz w:val="21"/>
                <w:szCs w:val="21"/>
                <w:lang w:val="de-DE" w:eastAsia="ja-JP" w:bidi="ar-SA"/>
              </w:rPr>
            </w:pPr>
            <w:r>
              <w:rPr>
                <w:rFonts w:asciiTheme="minorEastAsia" w:hAnsiTheme="minorEastAsia" w:eastAsiaTheme="minorEastAsia"/>
                <w:sz w:val="20"/>
              </w:rPr>
              <w:t>江西省抚州市南城县校具产业园科创园综合大楼三楼</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江西省抚州市南城县校具产业园科创园综合大楼三楼</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8</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ascii="宋体" w:hAnsi="宋体"/>
                <w:b/>
                <w:color w:val="000000"/>
                <w:szCs w:val="21"/>
              </w:rPr>
              <w:t>教学专用仪器、家具、教学用模型及教具、家用电器、体育用品及器材、办公用品、服装、电子产品、塑料制品、厨具、玩具、照相器材、音响设备、广播电视传输设备的销售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QEO</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2021-N0QMS-1286307</w:t>
            </w:r>
          </w:p>
          <w:p>
            <w:r>
              <w:t>2021-N0EMS-1286307</w:t>
            </w:r>
          </w:p>
          <w:p>
            <w:r>
              <w:t>2021-N0OHSMS-1286307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组员</w:t>
            </w:r>
          </w:p>
        </w:tc>
        <w:tc>
          <w:tcPr>
            <w:tcW w:w="711" w:type="dxa"/>
            <w:vAlign w:val="center"/>
          </w:tcPr>
          <w:p>
            <w:r>
              <w:t>男</w:t>
            </w:r>
          </w:p>
        </w:tc>
        <w:tc>
          <w:tcPr>
            <w:tcW w:w="3870" w:type="dxa"/>
            <w:vAlign w:val="center"/>
          </w:tcPr>
          <w:p>
            <w:r>
              <w:t>2019-N1QMS-1257737</w:t>
            </w:r>
          </w:p>
          <w:p>
            <w:r>
              <w:t>2019-N1EMS-1257737</w:t>
            </w:r>
          </w:p>
          <w:p>
            <w:r>
              <w:t>2020-N1OHSMS-1257737</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158"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158"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1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158"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highlight w:val="none"/>
        </w:rPr>
        <w:t>十二、不符合项及纠正措施验证结论：</w:t>
      </w:r>
    </w:p>
    <w:tbl>
      <w:tblPr>
        <w:tblStyle w:val="9"/>
        <w:tblpPr w:leftFromText="180" w:rightFromText="180" w:vertAnchor="text" w:horzAnchor="page" w:tblpXSpec="center" w:tblpY="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Spec="center" w:tblpY="120"/>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30" w:type="dxa"/>
            <w:vMerge w:val="restart"/>
            <w:shd w:val="clear" w:color="auto" w:fill="auto"/>
          </w:tcPr>
          <w:p>
            <w:pPr>
              <w:rPr>
                <w:highlight w:val="none"/>
              </w:rPr>
            </w:pPr>
            <w:r>
              <w:rPr>
                <w:rFonts w:hint="eastAsia"/>
                <w:highlight w:val="none"/>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0"/>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690"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90"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90"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690" w:type="dxa"/>
            <w:vAlign w:val="center"/>
          </w:tcPr>
          <w:p>
            <w:pPr>
              <w:jc w:val="both"/>
            </w:pPr>
            <w:r>
              <w:rPr>
                <w:rFonts w:hint="eastAsia"/>
              </w:rPr>
              <w:t>审核组长签字</w:t>
            </w:r>
          </w:p>
        </w:tc>
        <w:tc>
          <w:tcPr>
            <w:tcW w:w="2764" w:type="dxa"/>
            <w:tcMar>
              <w:left w:w="113" w:type="dxa"/>
            </w:tcMar>
            <w:vAlign w:val="center"/>
          </w:tcPr>
          <w:p>
            <w:pPr>
              <w:jc w:val="both"/>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189230</wp:posOffset>
                  </wp:positionH>
                  <wp:positionV relativeFrom="paragraph">
                    <wp:posOffset>43815</wp:posOffset>
                  </wp:positionV>
                  <wp:extent cx="708025" cy="426720"/>
                  <wp:effectExtent l="0" t="0" r="1587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lum bright="-96000"/>
                          </a:blip>
                          <a:stretch>
                            <a:fillRect/>
                          </a:stretch>
                        </pic:blipFill>
                        <pic:spPr>
                          <a:xfrm>
                            <a:off x="0" y="0"/>
                            <a:ext cx="708025" cy="426720"/>
                          </a:xfrm>
                          <a:prstGeom prst="rect">
                            <a:avLst/>
                          </a:prstGeom>
                          <a:noFill/>
                          <a:ln>
                            <a:noFill/>
                          </a:ln>
                        </pic:spPr>
                      </pic:pic>
                    </a:graphicData>
                  </a:graphic>
                </wp:anchor>
              </w:drawing>
            </w:r>
          </w:p>
          <w:p>
            <w:pPr>
              <w:jc w:val="both"/>
            </w:pPr>
          </w:p>
        </w:tc>
        <w:tc>
          <w:tcPr>
            <w:tcW w:w="2764" w:type="dxa"/>
            <w:tcMar>
              <w:left w:w="113" w:type="dxa"/>
            </w:tcMar>
            <w:vAlign w:val="center"/>
          </w:tcPr>
          <w:p>
            <w:pPr>
              <w:jc w:val="both"/>
              <w:rPr>
                <w:color w:val="auto"/>
              </w:rPr>
            </w:pPr>
            <w:r>
              <w:rPr>
                <w:rFonts w:hint="eastAsia"/>
                <w:color w:val="auto"/>
              </w:rPr>
              <w:t>日期</w:t>
            </w:r>
          </w:p>
        </w:tc>
        <w:tc>
          <w:tcPr>
            <w:tcW w:w="2766" w:type="dxa"/>
            <w:tcMar>
              <w:left w:w="113" w:type="dxa"/>
            </w:tcMar>
            <w:vAlign w:val="center"/>
          </w:tcPr>
          <w:p>
            <w:pPr>
              <w:jc w:val="both"/>
              <w:rPr>
                <w:rFonts w:hint="default" w:ascii="宋体" w:eastAsia="宋体"/>
                <w:b/>
                <w:color w:val="auto"/>
                <w:szCs w:val="21"/>
                <w:lang w:val="en-US" w:eastAsia="zh-CN"/>
              </w:rPr>
            </w:pPr>
            <w:r>
              <w:rPr>
                <w:rFonts w:hint="eastAsia" w:ascii="宋体"/>
                <w:b/>
                <w:color w:val="auto"/>
                <w:szCs w:val="21"/>
                <w:lang w:val="en-US" w:eastAsia="zh-CN"/>
              </w:rPr>
              <w:t>2021.11.7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cs="宋体"/>
                <w:szCs w:val="21"/>
                <w:u w:val="single"/>
              </w:rPr>
              <w:t>守法诚信追求精品，预防污染保护环境；关爱员工健康安全，持续改进追求卓越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客户开发，合同评审过程</w:t>
                  </w:r>
                </w:p>
              </w:tc>
              <w:tc>
                <w:tcPr>
                  <w:tcW w:w="3965" w:type="dxa"/>
                </w:tcPr>
                <w:p>
                  <w:pPr>
                    <w:shd w:val="clear" w:color="auto" w:fill="C7DAF1" w:themeFill="text2" w:themeFillTint="32"/>
                    <w:rPr>
                      <w:rFonts w:hint="eastAsia"/>
                    </w:rPr>
                  </w:pPr>
                  <w:r>
                    <w:rPr>
                      <w:rFonts w:hint="eastAsia"/>
                    </w:rPr>
                    <w:t>对客户的要求实施监视和测量。</w:t>
                  </w:r>
                </w:p>
                <w:p>
                  <w:pPr>
                    <w:shd w:val="clear" w:color="auto" w:fill="C7DAF1" w:themeFill="text2" w:themeFillTint="32"/>
                  </w:pPr>
                  <w:r>
                    <w:rPr>
                      <w:rFonts w:hint="eastAsia"/>
                    </w:rPr>
                    <w:t>在确定与客户签署合同前 落实合同评审事宜。</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产品交付</w:t>
                  </w:r>
                </w:p>
              </w:tc>
              <w:tc>
                <w:tcPr>
                  <w:tcW w:w="3965" w:type="dxa"/>
                </w:tcPr>
                <w:p>
                  <w:pPr>
                    <w:shd w:val="clear" w:color="auto" w:fill="C7DAF1" w:themeFill="text2" w:themeFillTint="32"/>
                    <w:rPr>
                      <w:rFonts w:hint="eastAsia"/>
                    </w:rPr>
                  </w:pPr>
                  <w:r>
                    <w:rPr>
                      <w:rFonts w:hint="eastAsia"/>
                    </w:rPr>
                    <w:t>1.生产计划管制。</w:t>
                  </w:r>
                </w:p>
                <w:p>
                  <w:pPr>
                    <w:shd w:val="clear" w:color="auto" w:fill="C7DAF1" w:themeFill="text2" w:themeFillTint="32"/>
                    <w:rPr>
                      <w:rFonts w:hint="eastAsia"/>
                    </w:rPr>
                  </w:pPr>
                  <w:r>
                    <w:rPr>
                      <w:rFonts w:hint="eastAsia"/>
                    </w:rPr>
                    <w:t>2.生产过程的品质控制。</w:t>
                  </w:r>
                </w:p>
                <w:p>
                  <w:pPr>
                    <w:shd w:val="clear" w:color="auto" w:fill="C7DAF1" w:themeFill="text2" w:themeFillTint="32"/>
                    <w:rPr>
                      <w:rFonts w:hint="eastAsia"/>
                    </w:rPr>
                  </w:pPr>
                  <w:r>
                    <w:rPr>
                      <w:rFonts w:hint="eastAsia"/>
                    </w:rPr>
                    <w:t>3.成品的品质检验。</w:t>
                  </w:r>
                </w:p>
                <w:p>
                  <w:pPr>
                    <w:shd w:val="clear" w:color="auto" w:fill="C7DAF1" w:themeFill="text2" w:themeFillTint="32"/>
                  </w:pPr>
                  <w:r>
                    <w:rPr>
                      <w:rFonts w:hint="eastAsia"/>
                    </w:rPr>
                    <w:t>4.出货前的品质检验。</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顾客服务</w:t>
                  </w:r>
                </w:p>
              </w:tc>
              <w:tc>
                <w:tcPr>
                  <w:tcW w:w="3965" w:type="dxa"/>
                </w:tcPr>
                <w:p>
                  <w:pPr>
                    <w:shd w:val="clear" w:color="auto" w:fill="C7DAF1" w:themeFill="text2" w:themeFillTint="32"/>
                    <w:rPr>
                      <w:rFonts w:hint="eastAsia"/>
                    </w:rPr>
                  </w:pPr>
                  <w:r>
                    <w:rPr>
                      <w:rFonts w:hint="eastAsia"/>
                    </w:rPr>
                    <w:t>1.对所接到的客户投诉登记汇总，安排专人负责处理并及时回复客户。客诉处理一律以8D报告格式存档。</w:t>
                  </w:r>
                </w:p>
                <w:p>
                  <w:pPr>
                    <w:shd w:val="clear" w:color="auto" w:fill="C7DAF1" w:themeFill="text2" w:themeFillTint="32"/>
                  </w:pPr>
                  <w:r>
                    <w:rPr>
                      <w:rFonts w:hint="eastAsia"/>
                    </w:rPr>
                    <w:t>2.确保产品质量和交期，与客户保持积极沟通，以确保客户的满意度，从而稳定客户。</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2"/>
                    <w:numPr>
                      <w:ilvl w:val="0"/>
                      <w:numId w:val="2"/>
                    </w:numPr>
                    <w:shd w:val="clear" w:color="auto" w:fill="C7DAF1" w:themeFill="text2" w:themeFillTint="32"/>
                    <w:ind w:left="360" w:leftChars="0" w:hanging="360" w:firstLineChars="0"/>
                    <w:jc w:val="left"/>
                  </w:pPr>
                  <w:r>
                    <w:rPr>
                      <w:rFonts w:hint="eastAsia" w:ascii="宋体" w:hAnsi="宋体"/>
                      <w:sz w:val="18"/>
                      <w:szCs w:val="18"/>
                    </w:rPr>
                    <w:t>客户投诉每年少于3起；</w:t>
                  </w:r>
                </w:p>
              </w:tc>
              <w:tc>
                <w:tcPr>
                  <w:tcW w:w="3136" w:type="dxa"/>
                  <w:shd w:val="clear" w:color="auto" w:fill="auto"/>
                  <w:vAlign w:val="center"/>
                </w:tcPr>
                <w:p>
                  <w:pPr>
                    <w:pStyle w:val="22"/>
                    <w:numPr>
                      <w:ilvl w:val="0"/>
                      <w:numId w:val="3"/>
                    </w:numPr>
                    <w:shd w:val="clear" w:color="auto" w:fill="C7DAF1" w:themeFill="text2" w:themeFillTint="32"/>
                    <w:ind w:left="360" w:leftChars="0" w:hanging="360" w:firstLineChars="0"/>
                    <w:jc w:val="left"/>
                    <w:rPr>
                      <w:lang w:val="en-GB"/>
                    </w:rPr>
                  </w:pPr>
                  <w:r>
                    <w:rPr>
                      <w:rFonts w:hint="eastAsia" w:ascii="宋体" w:hAnsi="宋体"/>
                      <w:sz w:val="18"/>
                      <w:szCs w:val="18"/>
                    </w:rPr>
                    <w:t>顾客满意度总分÷调查顾客数x100%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2"/>
                    <w:numPr>
                      <w:ilvl w:val="0"/>
                      <w:numId w:val="2"/>
                    </w:numPr>
                    <w:shd w:val="clear" w:color="auto" w:fill="C7DAF1" w:themeFill="text2" w:themeFillTint="32"/>
                    <w:ind w:left="360" w:leftChars="0" w:hanging="360" w:firstLineChars="0"/>
                    <w:jc w:val="left"/>
                  </w:pPr>
                  <w:r>
                    <w:rPr>
                      <w:rFonts w:hint="eastAsia" w:ascii="宋体" w:hAnsi="宋体"/>
                      <w:sz w:val="18"/>
                      <w:szCs w:val="18"/>
                    </w:rPr>
                    <w:t>顾客满意度96%以上；</w:t>
                  </w:r>
                </w:p>
              </w:tc>
              <w:tc>
                <w:tcPr>
                  <w:tcW w:w="3136" w:type="dxa"/>
                  <w:shd w:val="clear" w:color="auto" w:fill="auto"/>
                  <w:vAlign w:val="center"/>
                </w:tcPr>
                <w:p>
                  <w:pPr>
                    <w:pStyle w:val="22"/>
                    <w:numPr>
                      <w:ilvl w:val="0"/>
                      <w:numId w:val="3"/>
                    </w:numPr>
                    <w:shd w:val="clear" w:color="auto" w:fill="C7DAF1" w:themeFill="text2" w:themeFillTint="32"/>
                    <w:ind w:left="360" w:leftChars="0" w:hanging="360" w:firstLineChars="0"/>
                    <w:jc w:val="left"/>
                    <w:rPr>
                      <w:rFonts w:ascii="宋体" w:hAnsi="宋体"/>
                    </w:rPr>
                  </w:pPr>
                  <w:r>
                    <w:rPr>
                      <w:rFonts w:hint="eastAsia" w:ascii="宋体" w:hAnsi="宋体"/>
                      <w:sz w:val="18"/>
                      <w:szCs w:val="18"/>
                    </w:rPr>
                    <w:t>顾客满意度总分÷调查顾客数x100%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2"/>
                    <w:numPr>
                      <w:ilvl w:val="0"/>
                      <w:numId w:val="0"/>
                    </w:numPr>
                    <w:shd w:val="clear" w:color="auto" w:fill="C7DAF1" w:themeFill="text2" w:themeFillTint="32"/>
                    <w:ind w:leftChars="0"/>
                    <w:jc w:val="left"/>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2"/>
                    <w:numPr>
                      <w:ilvl w:val="0"/>
                      <w:numId w:val="0"/>
                    </w:numPr>
                    <w:shd w:val="clear" w:color="auto" w:fill="C7DAF1" w:themeFill="text2" w:themeFillTint="32"/>
                    <w:ind w:leftChars="0"/>
                    <w:jc w:val="left"/>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电脑、打印机、文件柜</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销售</w:t>
                  </w:r>
                </w:p>
              </w:tc>
              <w:tc>
                <w:tcPr>
                  <w:tcW w:w="3665" w:type="dxa"/>
                </w:tcPr>
                <w:p>
                  <w:pPr>
                    <w:shd w:val="clear" w:color="auto" w:fill="C7DAF1" w:themeFill="text2" w:themeFillTint="32"/>
                    <w:jc w:val="left"/>
                  </w:pPr>
                  <w:r>
                    <w:rPr>
                      <w:rFonts w:hint="eastAsia"/>
                    </w:rPr>
                    <w:t>采购实施、销售过程</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需要确认的过程：销售过程，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rPr>
                <w:rFonts w:hint="eastAsia" w:eastAsia="宋体"/>
                <w:lang w:val="en-US" w:eastAsia="zh-CN"/>
              </w:rPr>
            </w:pPr>
            <w:r>
              <w:rPr>
                <w:rFonts w:hint="eastAsia"/>
              </w:rPr>
              <w:t>目前的顾客或外部供方财产包括：</w:t>
            </w:r>
            <w:r>
              <w:rPr>
                <w:rFonts w:hint="eastAsia"/>
                <w:lang w:val="en-US" w:eastAsia="zh-CN"/>
              </w:rPr>
              <w:t>/</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通过年度策划于2021年9月10-11日实施了质量管理体系内部审核，对质量管理体系的符合性和有效性进行了审核。内审发现的项不符合在本次审核前已完成整改。在公司内完成的这些审核是可信的。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最高管理者已按策划的时间间隔，在2021年9月25日对组织的质量管理体系进行了评审，以确保其持续的适宜性、充分性和有效性；管理评审输入、输出均按要求提供。并对提出的改进措施进行了落实。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1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cs="宋体"/>
                <w:szCs w:val="21"/>
                <w:u w:val="single"/>
              </w:rPr>
              <w:t>守法诚信追求精品，预防污染保护环境；关爱员工健康安全，持续改进追求卓越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val="en-US" w:eastAsia="zh-CN"/>
                    </w:rPr>
                  </w:pPr>
                  <w:r>
                    <w:rPr>
                      <w:rFonts w:hint="eastAsia"/>
                      <w:lang w:val="en-US" w:eastAsia="zh-CN"/>
                    </w:rPr>
                    <w:t>火灾</w:t>
                  </w:r>
                </w:p>
              </w:tc>
              <w:tc>
                <w:tcPr>
                  <w:tcW w:w="3965" w:type="dxa"/>
                </w:tcPr>
                <w:p>
                  <w:pPr>
                    <w:shd w:val="clear" w:color="auto" w:fill="EBF1DE" w:themeFill="accent3" w:themeFillTint="32"/>
                  </w:pPr>
                  <w:r>
                    <w:rPr>
                      <w:rFonts w:hint="eastAsia" w:ascii="宋体" w:hAnsi="宋体" w:cs="Arial"/>
                      <w:color w:val="auto"/>
                      <w:spacing w:val="-6"/>
                      <w:sz w:val="21"/>
                      <w:szCs w:val="21"/>
                      <w:lang w:val="en-US" w:eastAsia="zh-CN"/>
                    </w:rPr>
                    <w:t>制定管理方案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cs="Arial"/>
                      <w:color w:val="auto"/>
                      <w:spacing w:val="-6"/>
                      <w:sz w:val="21"/>
                      <w:szCs w:val="21"/>
                      <w:lang w:val="en-US" w:eastAsia="zh-CN"/>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cs="Arial"/>
                      <w:color w:val="auto"/>
                      <w:spacing w:val="-6"/>
                      <w:sz w:val="21"/>
                      <w:szCs w:val="21"/>
                      <w:lang w:val="en-US" w:eastAsia="zh-CN"/>
                    </w:rPr>
                    <w:t>制定管理方案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固体废弃物100%合理分类理</w:t>
                  </w:r>
                </w:p>
              </w:tc>
              <w:tc>
                <w:tcPr>
                  <w:tcW w:w="3136" w:type="dxa"/>
                  <w:shd w:val="clear" w:color="auto" w:fill="auto"/>
                  <w:vAlign w:val="center"/>
                </w:tcPr>
                <w:p>
                  <w:pPr>
                    <w:shd w:val="clear" w:color="auto" w:fill="EBF1DE" w:themeFill="accent3" w:themeFillTint="32"/>
                    <w:rPr>
                      <w:lang w:val="en-GB"/>
                    </w:rPr>
                  </w:pPr>
                  <w:r>
                    <w:rPr>
                      <w:rFonts w:hint="eastAsia" w:ascii="宋体" w:hAnsi="宋体"/>
                      <w:bCs/>
                      <w:color w:val="000000"/>
                      <w:szCs w:val="21"/>
                    </w:rPr>
                    <w:t>制定并实施专项管理方案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 w:val="18"/>
                      <w:szCs w:val="18"/>
                    </w:rPr>
                    <w:t>火灾事故发生率为零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bCs/>
                      <w:color w:val="000000"/>
                      <w:szCs w:val="21"/>
                    </w:rPr>
                    <w:t>制定并实施专项管理方案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color w:val="000000"/>
                <w:u w:val="single"/>
                <w:lang w:val="en-US" w:eastAsia="zh-CN"/>
              </w:rPr>
              <w:t>电脑、打印机、文件柜</w:t>
            </w:r>
            <w:r>
              <w:rPr>
                <w:color w:val="000000"/>
                <w:u w:val="single"/>
              </w:rPr>
              <w:t xml:space="preserve"> </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消防设施、垃圾桶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调查表</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节约使用</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节约使用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生活污水，市政管网排放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管理方案</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2021年7月12日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default" w:cs="Times New Roman"/>
                <w:szCs w:val="22"/>
                <w:highlight w:val="none"/>
                <w:lang w:val="en-US" w:eastAsia="zh-CN"/>
              </w:rPr>
              <w:t>2021</w:t>
            </w:r>
            <w:r>
              <w:rPr>
                <w:rFonts w:hint="eastAsia"/>
              </w:rPr>
              <w:t>年</w:t>
            </w:r>
            <w:r>
              <w:rPr>
                <w:rFonts w:hint="default" w:cs="Times New Roman"/>
                <w:szCs w:val="22"/>
                <w:highlight w:val="none"/>
                <w:lang w:val="en-US" w:eastAsia="zh-CN"/>
              </w:rPr>
              <w:t>7</w:t>
            </w:r>
            <w:r>
              <w:rPr>
                <w:rFonts w:hint="eastAsia"/>
              </w:rPr>
              <w:t>月</w:t>
            </w:r>
            <w:r>
              <w:rPr>
                <w:rFonts w:hint="default" w:cs="Times New Roman"/>
                <w:szCs w:val="22"/>
                <w:highlight w:val="none"/>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通过年度策划于2021年9月10-11日实施了环境管理体系内部审核，对环境管理体系的符合性和有效性进行了审核。内审发现的项不符合在本次审核前已完成整改。在公司内完成的这些审核是可信的。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最高管理者已按策划的时间间隔，在2021年9月25日对组织的环境管理体系进行了评审，以确保其持续的适宜性、充分性和有效性；管理评审输入、输出均按要求提供。并对提出的改进措施进行了落实。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83"/>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18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18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18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18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18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18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A3"/>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cs="宋体"/>
                <w:szCs w:val="21"/>
                <w:u w:val="single"/>
              </w:rPr>
              <w:t>守法诚信追求精品，预防污染保护环境；关爱员工健康安全，持续改进追求卓越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周小芬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触电</w:t>
                  </w:r>
                </w:p>
              </w:tc>
              <w:tc>
                <w:tcPr>
                  <w:tcW w:w="3965" w:type="dxa"/>
                </w:tcPr>
                <w:p>
                  <w:pPr>
                    <w:rPr>
                      <w:rFonts w:hint="eastAsia" w:eastAsia="宋体"/>
                      <w:lang w:val="en-US" w:eastAsia="zh-CN"/>
                    </w:rPr>
                  </w:pPr>
                  <w:r>
                    <w:rPr>
                      <w:rFonts w:hint="eastAsia"/>
                      <w:lang w:val="en-US" w:eastAsia="zh-CN"/>
                    </w:rPr>
                    <w:t>管理方案</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火灾事故</w:t>
                  </w:r>
                </w:p>
              </w:tc>
              <w:tc>
                <w:tcPr>
                  <w:tcW w:w="3965" w:type="dxa"/>
                </w:tcPr>
                <w:p>
                  <w:r>
                    <w:rPr>
                      <w:rFonts w:hint="eastAsia"/>
                      <w:lang w:val="en-US" w:eastAsia="zh-CN"/>
                    </w:rPr>
                    <w:t>管理方案</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 w:val="18"/>
                      <w:szCs w:val="18"/>
                    </w:rPr>
                    <w:t>触电事故发生率为零</w:t>
                  </w:r>
                </w:p>
              </w:tc>
              <w:tc>
                <w:tcPr>
                  <w:tcW w:w="3136" w:type="dxa"/>
                  <w:shd w:val="clear" w:color="auto" w:fill="auto"/>
                  <w:vAlign w:val="center"/>
                </w:tcPr>
                <w:p>
                  <w:pPr>
                    <w:rPr>
                      <w:lang w:val="en-GB"/>
                    </w:rPr>
                  </w:pPr>
                  <w:r>
                    <w:rPr>
                      <w:rFonts w:hint="eastAsia" w:ascii="宋体" w:hAnsi="宋体"/>
                      <w:bCs/>
                      <w:color w:val="000000"/>
                      <w:szCs w:val="21"/>
                    </w:rPr>
                    <w:t>制定并实施专项管理方案</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 w:val="18"/>
                      <w:szCs w:val="18"/>
                    </w:rPr>
                    <w:t>火灾事故发生率为零</w:t>
                  </w:r>
                </w:p>
              </w:tc>
              <w:tc>
                <w:tcPr>
                  <w:tcW w:w="3136" w:type="dxa"/>
                  <w:shd w:val="clear" w:color="auto" w:fill="auto"/>
                  <w:vAlign w:val="center"/>
                </w:tcPr>
                <w:p>
                  <w:pPr>
                    <w:rPr>
                      <w:rFonts w:ascii="宋体" w:hAnsi="宋体"/>
                    </w:rPr>
                  </w:pPr>
                  <w:r>
                    <w:rPr>
                      <w:rFonts w:hint="eastAsia" w:ascii="宋体" w:hAnsi="宋体"/>
                      <w:bCs/>
                      <w:color w:val="000000"/>
                      <w:szCs w:val="21"/>
                    </w:rPr>
                    <w:t>制定并实施专项管理方案</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 w:val="18"/>
                      <w:szCs w:val="18"/>
                    </w:rPr>
                    <w:t>各类重伤以上事故发生率零</w:t>
                  </w:r>
                </w:p>
              </w:tc>
              <w:tc>
                <w:tcPr>
                  <w:tcW w:w="3136" w:type="dxa"/>
                  <w:shd w:val="clear" w:color="auto" w:fill="auto"/>
                  <w:vAlign w:val="center"/>
                </w:tcPr>
                <w:p>
                  <w:pPr>
                    <w:rPr>
                      <w:rFonts w:ascii="宋体" w:hAnsi="宋体"/>
                    </w:rPr>
                  </w:pPr>
                  <w:r>
                    <w:rPr>
                      <w:rFonts w:hint="eastAsia" w:ascii="宋体" w:hAnsi="宋体"/>
                      <w:bCs/>
                      <w:color w:val="000000"/>
                      <w:szCs w:val="21"/>
                    </w:rPr>
                    <w:t>制定并实施专项管理方案</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color w:val="000000"/>
                <w:u w:val="single"/>
                <w:lang w:val="en-US" w:eastAsia="zh-CN"/>
              </w:rPr>
              <w:t>电脑、打印机、文件柜</w:t>
            </w:r>
            <w:r>
              <w:rPr>
                <w:color w:val="000000"/>
                <w:u w:val="single"/>
              </w:rPr>
              <w:t xml:space="preserve"> </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消防控制</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于2021年7月12日进行了的演练；并总结了预案的可行性和有效性。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2021年9月10-11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最高管理者已按策划的时间间隔，在2021年9月25日对组织的职业健康安全管理体系进行了评审，以确保其持续的适宜性、充分性和有效性；管理评审输入、输出均按要求提供。并对提出的改进措施进行了落实。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4FA0054B"/>
    <w:multiLevelType w:val="multilevel"/>
    <w:tmpl w:val="4FA005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1B05A1"/>
    <w:multiLevelType w:val="multilevel"/>
    <w:tmpl w:val="7B1B05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095F75"/>
    <w:rsid w:val="0FE778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2021-11-06T01:13:16Z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