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牡丹江鸿鑫设备制造有限公司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0245</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245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557"/>
        <w:gridCol w:w="1428"/>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0"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557"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牡丹江鸿鑫设备制造有限公司</w:t>
            </w:r>
          </w:p>
        </w:tc>
        <w:tc>
          <w:tcPr>
            <w:tcW w:w="1428"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85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 w:val="21"/>
                <w:szCs w:val="21"/>
                <w:lang w:eastAsia="zh-CN"/>
              </w:rPr>
            </w:pP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eastAsia="zh-CN"/>
              </w:rPr>
              <w:t>翟楠楠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8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557"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lang w:val="en-US" w:eastAsia="zh-CN"/>
              </w:rPr>
            </w:pPr>
            <w:r>
              <w:rPr>
                <w:rFonts w:hint="eastAsia" w:cs="宋体" w:asciiTheme="minorEastAsia" w:hAnsiTheme="minorEastAsia"/>
                <w:kern w:val="0"/>
                <w:sz w:val="21"/>
                <w:szCs w:val="21"/>
                <w:lang w:val="en-US" w:eastAsia="zh-CN"/>
              </w:rPr>
              <w:t>ISC-2020-0865</w:t>
            </w:r>
          </w:p>
        </w:tc>
        <w:tc>
          <w:tcPr>
            <w:tcW w:w="1428"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 w:val="21"/>
                <w:szCs w:val="21"/>
              </w:rPr>
              <w:t>证书有效期</w:t>
            </w:r>
          </w:p>
        </w:tc>
        <w:tc>
          <w:tcPr>
            <w:tcW w:w="285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lang w:val="en-US"/>
              </w:rPr>
            </w:pPr>
            <w:r>
              <w:rPr>
                <w:rFonts w:hint="eastAsia" w:cs="宋体" w:asciiTheme="minorEastAsia" w:hAnsiTheme="minorEastAsia"/>
                <w:kern w:val="0"/>
                <w:sz w:val="21"/>
                <w:szCs w:val="21"/>
                <w:lang w:val="en-US" w:eastAsia="zh-CN"/>
              </w:rPr>
              <w:t>2025.12.10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557"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428"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85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80"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557"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bidi w:val="0"/>
              <w:spacing w:line="360" w:lineRule="auto"/>
              <w:rPr>
                <w:rFonts w:hint="eastAsia" w:ascii="宋体" w:hAnsi="宋体" w:cs="Arial"/>
                <w:szCs w:val="21"/>
              </w:rPr>
            </w:pPr>
            <w:r>
              <w:rPr>
                <w:rFonts w:hint="eastAsia" w:ascii="宋体" w:hAnsi="宋体" w:eastAsia="宋体" w:cs="Times New Roman"/>
                <w:color w:val="000000"/>
                <w:szCs w:val="21"/>
                <w:lang w:eastAsia="zh-CN"/>
              </w:rPr>
              <w:t>李弘博</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2020-M1MMS-1231763</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428"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859" w:type="dxa"/>
            <w:vAlign w:val="center"/>
          </w:tcPr>
          <w:p>
            <w:pPr>
              <w:rPr>
                <w:rFonts w:ascii="宋体" w:hAnsi="宋体" w:eastAsia="宋体" w:cs="Times New Roman"/>
                <w:bCs/>
                <w:sz w:val="21"/>
                <w:szCs w:val="21"/>
              </w:rPr>
            </w:pPr>
            <w:r>
              <w:rPr>
                <w:rFonts w:hint="eastAsia" w:ascii="宋体" w:hAnsi="宋体" w:eastAsia="宋体" w:cs="宋体"/>
                <w:bCs/>
                <w:sz w:val="21"/>
                <w:szCs w:val="21"/>
                <w:lang w:val="en-US" w:eastAsia="zh-CN"/>
              </w:rPr>
              <w:t xml:space="preserve"> 质检部、技术部、</w:t>
            </w:r>
            <w:r>
              <w:rPr>
                <w:rFonts w:hint="eastAsia" w:ascii="宋体" w:hAnsi="宋体"/>
                <w:sz w:val="21"/>
                <w:szCs w:val="21"/>
                <w:lang w:val="en-US" w:eastAsia="zh-CN"/>
              </w:rPr>
              <w:t>生产部（生产车间）</w:t>
            </w:r>
            <w:r>
              <w:rPr>
                <w:rFonts w:hint="eastAsia" w:ascii="宋体" w:hAnsi="宋体" w:eastAsia="宋体" w:cs="宋体"/>
                <w:bCs/>
                <w:sz w:val="21"/>
                <w:szCs w:val="21"/>
                <w:lang w:val="en-US" w:eastAsia="zh-CN"/>
              </w:rPr>
              <w:t>综合部、销售部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牡丹江鸿鑫设备制造有限公司</w:t>
      </w:r>
      <w:r>
        <w:rPr>
          <w:rFonts w:hint="eastAsia" w:ascii="宋体" w:hAnsi="宋体" w:cs="宋体"/>
          <w:bCs/>
          <w:kern w:val="0"/>
          <w:szCs w:val="21"/>
        </w:rPr>
        <w:t>现场</w:t>
      </w:r>
      <w:r>
        <w:rPr>
          <w:rFonts w:hint="eastAsia" w:ascii="宋体" w:hAnsi="宋体" w:cs="宋体"/>
          <w:bCs/>
          <w:kern w:val="0"/>
          <w:szCs w:val="21"/>
          <w:lang w:eastAsia="zh-CN"/>
        </w:rPr>
        <w:t>和远程</w:t>
      </w:r>
      <w:bookmarkStart w:id="5" w:name="_GoBack"/>
      <w:bookmarkEnd w:id="5"/>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12-13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质检部部长夏铁军任审核组长组织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28</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评审，会议由</w:t>
      </w:r>
      <w:r>
        <w:rPr>
          <w:bCs/>
          <w:szCs w:val="21"/>
        </w:rPr>
        <w:t>会议由企业总经理</w:t>
      </w:r>
      <w:r>
        <w:rPr>
          <w:rFonts w:hint="eastAsia"/>
          <w:bCs/>
          <w:szCs w:val="21"/>
          <w:lang w:eastAsia="zh-CN"/>
        </w:rPr>
        <w:t>杨雷</w:t>
      </w:r>
      <w:r>
        <w:rPr>
          <w:szCs w:val="21"/>
        </w:rPr>
        <w:t>主持</w:t>
      </w:r>
      <w:r>
        <w:rPr>
          <w:bCs/>
          <w:szCs w:val="21"/>
        </w:rPr>
        <w:t>、</w:t>
      </w:r>
      <w:r>
        <w:rPr>
          <w:szCs w:val="21"/>
        </w:rPr>
        <w:t>管理者代表</w:t>
      </w:r>
      <w:r>
        <w:rPr>
          <w:rFonts w:hint="eastAsia"/>
          <w:szCs w:val="21"/>
          <w:lang w:eastAsia="zh-CN"/>
        </w:rPr>
        <w:t>翟楠楠</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color w:val="000000"/>
          <w:szCs w:val="21"/>
        </w:rPr>
        <w:t>抽油机动力配电箱、工业监测用物联网通讯设备、石油钻采设备及配件、油田专用仪器仪表、配电网故障自动检测系统、变频调速装置、限弧式组合电极的生产和售后服务</w:t>
      </w:r>
      <w:bookmarkEnd w:id="3"/>
      <w:r>
        <w:rPr>
          <w:color w:val="000000"/>
          <w:szCs w:val="21"/>
        </w:rPr>
        <w:t>等</w:t>
      </w:r>
      <w:r>
        <w:rPr>
          <w:rFonts w:hint="eastAsia" w:ascii="宋体" w:hAnsi="宋体"/>
          <w:szCs w:val="21"/>
          <w:lang w:eastAsia="zh-CN"/>
        </w:rPr>
        <w:t>。质检</w:t>
      </w:r>
      <w:r>
        <w:rPr>
          <w:rFonts w:hint="eastAsia"/>
          <w:color w:val="000000"/>
          <w:szCs w:val="21"/>
          <w:lang w:eastAsia="zh-CN"/>
        </w:rPr>
        <w:t>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Times New Roman" w:hAnsi="Times New Roman" w:cs="Times New Roman"/>
          <w:bCs/>
          <w:kern w:val="0"/>
          <w:szCs w:val="21"/>
          <w:lang w:val="en-US" w:eastAsia="zh-CN"/>
        </w:rPr>
        <w:t>27</w:t>
      </w:r>
      <w:r>
        <w:rPr>
          <w:rFonts w:hint="eastAsia" w:ascii="宋体" w:hAnsi="宋体" w:cs="宋体"/>
          <w:kern w:val="0"/>
          <w:szCs w:val="21"/>
          <w:lang w:val="en-US" w:eastAsia="zh-CN"/>
        </w:rPr>
        <w:t>个测量过程，未增加新的</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eastAsia" w:ascii="Times New Roman" w:hAnsi="Times New Roman" w:eastAsia="宋体" w:cs="Times New Roman"/>
          <w:sz w:val="21"/>
          <w:szCs w:val="21"/>
          <w:lang w:val="en-US" w:eastAsia="zh-CN"/>
        </w:rPr>
        <w:t>配电箱壳体主接点电阻测量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 w:val="21"/>
          <w:szCs w:val="21"/>
          <w:lang w:val="en-US" w:eastAsia="zh-CN"/>
        </w:rPr>
        <w:t>配电箱壳体主接点电阻测量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Times New Roman" w:hAnsi="Times New Roman" w:eastAsia="宋体" w:cs="Times New Roman"/>
          <w:sz w:val="21"/>
          <w:szCs w:val="21"/>
          <w:lang w:val="en-US" w:eastAsia="zh-CN"/>
        </w:rPr>
        <w:t>配电箱壳体主接点电阻测量</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eastAsia="宋体" w:cs="Times New Roman"/>
          <w:sz w:val="21"/>
          <w:szCs w:val="21"/>
          <w:lang w:val="en-US" w:eastAsia="zh-CN"/>
        </w:rPr>
        <w:t>配电箱壳体主接点电阻测量</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eastAsia="宋体" w:cs="Times New Roman"/>
          <w:sz w:val="21"/>
          <w:szCs w:val="21"/>
          <w:lang w:val="en-US" w:eastAsia="zh-CN"/>
        </w:rPr>
        <w:t>配电箱壳体主接点电阻测量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2</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val="en-US" w:eastAsia="zh-CN"/>
        </w:rPr>
        <w:t>1</w:t>
      </w:r>
      <w:r>
        <w:rPr>
          <w:rFonts w:hint="eastAsia" w:ascii="宋体" w:hAnsi="宋体"/>
          <w:b w:val="0"/>
          <w:bCs/>
          <w:sz w:val="21"/>
          <w:szCs w:val="21"/>
          <w:lang w:eastAsia="zh-CN"/>
        </w:rPr>
        <w:t>“</w:t>
      </w:r>
      <w:r>
        <w:rPr>
          <w:rFonts w:hint="eastAsia" w:ascii="宋体" w:hAnsi="宋体"/>
          <w:b w:val="0"/>
          <w:bCs w:val="0"/>
          <w:color w:val="auto"/>
          <w:sz w:val="21"/>
          <w:szCs w:val="21"/>
          <w:lang w:eastAsia="zh-CN"/>
        </w:rPr>
        <w:t>生产部提供的装配生产检验记录</w:t>
      </w:r>
      <w:r>
        <w:rPr>
          <w:rFonts w:hint="eastAsia" w:hAnsi="宋体"/>
          <w:b w:val="0"/>
          <w:bCs w:val="0"/>
          <w:color w:val="auto"/>
          <w:sz w:val="21"/>
          <w:szCs w:val="21"/>
          <w:lang w:eastAsia="zh-CN"/>
        </w:rPr>
        <w:t>，</w:t>
      </w:r>
      <w:r>
        <w:rPr>
          <w:rFonts w:hint="eastAsia" w:ascii="宋体" w:hAnsi="宋体"/>
          <w:b w:val="0"/>
          <w:bCs w:val="0"/>
          <w:color w:val="auto"/>
          <w:sz w:val="21"/>
          <w:szCs w:val="21"/>
          <w:lang w:eastAsia="zh-CN"/>
        </w:rPr>
        <w:t>产品编号：</w:t>
      </w:r>
      <w:r>
        <w:rPr>
          <w:rFonts w:hint="eastAsia" w:ascii="宋体" w:hAnsi="宋体"/>
          <w:b w:val="0"/>
          <w:bCs w:val="0"/>
          <w:color w:val="auto"/>
          <w:sz w:val="21"/>
          <w:szCs w:val="21"/>
          <w:lang w:val="en-US" w:eastAsia="zh-CN"/>
        </w:rPr>
        <w:t>200932产品名称：配电箱，</w:t>
      </w:r>
      <w:r>
        <w:rPr>
          <w:rFonts w:hint="eastAsia" w:hAnsi="宋体"/>
          <w:b w:val="0"/>
          <w:bCs w:val="0"/>
          <w:color w:val="auto"/>
          <w:sz w:val="21"/>
          <w:szCs w:val="21"/>
          <w:lang w:val="en-US" w:eastAsia="zh-CN"/>
        </w:rPr>
        <w:t>没有标注记录的检验日期。</w:t>
      </w:r>
      <w:r>
        <w:rPr>
          <w:rFonts w:hint="eastAsia" w:ascii="宋体" w:hAnsi="宋体" w:eastAsia="宋体" w:cs="宋体"/>
          <w:kern w:val="0"/>
          <w:sz w:val="21"/>
          <w:szCs w:val="21"/>
          <w:lang w:val="en-US" w:eastAsia="zh-CN" w:bidi="ar-SA"/>
        </w:rPr>
        <w:t xml:space="preserve">不符合GB/T19022-2003标准中 </w:t>
      </w:r>
      <w:r>
        <w:rPr>
          <w:rFonts w:hint="eastAsia" w:hAnsi="宋体" w:cs="宋体"/>
          <w:kern w:val="0"/>
          <w:sz w:val="21"/>
          <w:szCs w:val="21"/>
          <w:lang w:val="en-US" w:eastAsia="zh-CN" w:bidi="ar-SA"/>
        </w:rPr>
        <w:t>7</w:t>
      </w:r>
      <w:r>
        <w:rPr>
          <w:rFonts w:hint="eastAsia" w:ascii="宋体" w:hAnsi="宋体" w:eastAsia="宋体" w:cs="宋体"/>
          <w:kern w:val="0"/>
          <w:sz w:val="21"/>
          <w:szCs w:val="21"/>
          <w:lang w:val="en-US" w:eastAsia="zh-CN" w:bidi="ar-SA"/>
        </w:rPr>
        <w:t>.2.</w:t>
      </w:r>
      <w:r>
        <w:rPr>
          <w:rFonts w:hint="eastAsia" w:hAnsi="宋体" w:cs="宋体"/>
          <w:kern w:val="0"/>
          <w:sz w:val="21"/>
          <w:szCs w:val="21"/>
          <w:lang w:val="en-US" w:eastAsia="zh-CN" w:bidi="ar-SA"/>
        </w:rPr>
        <w:t>4d）</w:t>
      </w:r>
      <w:r>
        <w:rPr>
          <w:rFonts w:hint="eastAsia" w:ascii="宋体" w:hAnsi="宋体" w:eastAsia="宋体" w:cs="宋体"/>
          <w:kern w:val="0"/>
          <w:sz w:val="21"/>
          <w:szCs w:val="21"/>
          <w:lang w:val="en-US" w:eastAsia="zh-CN" w:bidi="ar-SA"/>
        </w:rPr>
        <w:t>条款“</w:t>
      </w:r>
      <w:r>
        <w:rPr>
          <w:rFonts w:hint="eastAsia" w:ascii="宋体" w:hAnsi="宋体"/>
          <w:sz w:val="21"/>
          <w:szCs w:val="21"/>
        </w:rPr>
        <w:t>，</w:t>
      </w:r>
      <w:r>
        <w:rPr>
          <w:rFonts w:hint="eastAsia" w:ascii="宋体" w:hAnsi="宋体"/>
          <w:sz w:val="21"/>
          <w:szCs w:val="21"/>
          <w:lang w:val="en-US" w:eastAsia="zh-CN"/>
        </w:rPr>
        <w:t>2</w:t>
      </w:r>
      <w:r>
        <w:rPr>
          <w:rFonts w:hint="eastAsia" w:ascii="Times New Roman" w:hAnsi="Times New Roman"/>
          <w:b w:val="0"/>
          <w:bCs/>
          <w:sz w:val="21"/>
          <w:szCs w:val="21"/>
          <w:lang w:val="en-US" w:eastAsia="zh-CN"/>
        </w:rPr>
        <w:t>.“</w:t>
      </w:r>
      <w:r>
        <w:rPr>
          <w:rFonts w:hint="eastAsia" w:ascii="宋体" w:hAnsi="宋体" w:cs="宋体"/>
          <w:kern w:val="0"/>
          <w:sz w:val="21"/>
          <w:szCs w:val="21"/>
          <w:lang w:val="en-US" w:eastAsia="zh-CN" w:bidi="ar-SA"/>
        </w:rPr>
        <w:t>质检</w:t>
      </w:r>
      <w:r>
        <w:rPr>
          <w:rFonts w:hint="eastAsia" w:ascii="宋体" w:hAnsi="宋体" w:eastAsia="宋体" w:cs="宋体"/>
          <w:kern w:val="0"/>
          <w:sz w:val="21"/>
          <w:szCs w:val="21"/>
          <w:lang w:val="en-US" w:eastAsia="zh-CN" w:bidi="ar-SA"/>
        </w:rPr>
        <w:t>部未能</w:t>
      </w:r>
      <w:r>
        <w:rPr>
          <w:rFonts w:hint="eastAsia" w:hAnsi="宋体" w:cs="宋体"/>
          <w:kern w:val="0"/>
          <w:sz w:val="21"/>
          <w:szCs w:val="21"/>
          <w:lang w:val="en-US" w:eastAsia="zh-CN" w:bidi="ar-SA"/>
        </w:rPr>
        <w:t>把编号为：HXSB-01的钢卷尺列入测量设备管理台账中</w:t>
      </w:r>
      <w:r>
        <w:rPr>
          <w:rFonts w:hint="eastAsia" w:ascii="宋体" w:hAnsi="宋体" w:eastAsia="宋体" w:cs="宋体"/>
          <w:kern w:val="0"/>
          <w:sz w:val="21"/>
          <w:szCs w:val="21"/>
          <w:lang w:val="en-US" w:eastAsia="zh-CN" w:bidi="ar-SA"/>
        </w:rPr>
        <w:t xml:space="preserve">。不符合GB/T19022-2003标准中 </w:t>
      </w:r>
      <w:r>
        <w:rPr>
          <w:rFonts w:hint="eastAsia" w:hAnsi="宋体" w:cs="宋体"/>
          <w:kern w:val="0"/>
          <w:sz w:val="21"/>
          <w:szCs w:val="21"/>
          <w:lang w:val="en-US" w:eastAsia="zh-CN" w:bidi="ar-SA"/>
        </w:rPr>
        <w:t>6</w:t>
      </w:r>
      <w:r>
        <w:rPr>
          <w:rFonts w:hint="eastAsia" w:ascii="宋体" w:hAnsi="宋体" w:eastAsia="宋体" w:cs="宋体"/>
          <w:kern w:val="0"/>
          <w:sz w:val="21"/>
          <w:szCs w:val="21"/>
          <w:lang w:val="en-US" w:eastAsia="zh-CN" w:bidi="ar-SA"/>
        </w:rPr>
        <w:t>.</w:t>
      </w:r>
      <w:r>
        <w:rPr>
          <w:rFonts w:hint="eastAsia" w:hAnsi="宋体" w:cs="宋体"/>
          <w:kern w:val="0"/>
          <w:sz w:val="21"/>
          <w:szCs w:val="21"/>
          <w:lang w:val="en-US" w:eastAsia="zh-CN" w:bidi="ar-SA"/>
        </w:rPr>
        <w:t>3</w:t>
      </w:r>
      <w:r>
        <w:rPr>
          <w:rFonts w:hint="eastAsia" w:ascii="宋体" w:hAnsi="宋体" w:eastAsia="宋体" w:cs="宋体"/>
          <w:kern w:val="0"/>
          <w:sz w:val="21"/>
          <w:szCs w:val="21"/>
          <w:lang w:val="en-US" w:eastAsia="zh-CN" w:bidi="ar-SA"/>
        </w:rPr>
        <w:t>.</w:t>
      </w:r>
      <w:r>
        <w:rPr>
          <w:rFonts w:hint="eastAsia" w:hAnsi="宋体" w:cs="宋体"/>
          <w:kern w:val="0"/>
          <w:sz w:val="21"/>
          <w:szCs w:val="21"/>
          <w:lang w:val="en-US" w:eastAsia="zh-CN" w:bidi="ar-SA"/>
        </w:rPr>
        <w:t>1</w:t>
      </w:r>
      <w:r>
        <w:rPr>
          <w:rFonts w:hint="eastAsia" w:ascii="宋体" w:hAnsi="宋体" w:eastAsia="宋体" w:cs="宋体"/>
          <w:kern w:val="0"/>
          <w:sz w:val="21"/>
          <w:szCs w:val="21"/>
          <w:lang w:val="en-US" w:eastAsia="zh-CN" w:bidi="ar-SA"/>
        </w:rPr>
        <w:t>条款”，</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2</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w:t>
      </w:r>
      <w:r>
        <w:rPr>
          <w:rFonts w:hint="eastAsia" w:ascii="宋体" w:hAnsi="宋体" w:cs="宋体"/>
          <w:bCs/>
          <w:kern w:val="0"/>
          <w:szCs w:val="21"/>
          <w:highlight w:val="none"/>
          <w:lang w:val="en-US" w:eastAsia="zh-CN"/>
        </w:rPr>
        <w:t>变更（2021.01.12），经营范围变化。附工商核准证明，</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由总经理重新任命为：翟楠楠组织测量体系运行工作</w:t>
      </w:r>
      <w:r>
        <w:rPr>
          <w:rFonts w:hint="eastAsia" w:ascii="宋体" w:hAnsi="宋体" w:cs="宋体"/>
          <w:bCs/>
          <w:kern w:val="0"/>
          <w:szCs w:val="21"/>
          <w:highlight w:val="none"/>
        </w:rPr>
        <w:t>、</w:t>
      </w:r>
      <w:r>
        <w:rPr>
          <w:rFonts w:hint="eastAsia" w:ascii="宋体" w:hAnsi="宋体" w:cs="宋体"/>
          <w:bCs/>
          <w:kern w:val="0"/>
          <w:szCs w:val="21"/>
          <w:highlight w:val="none"/>
          <w:lang w:eastAsia="zh-CN"/>
        </w:rPr>
        <w:t>企业的</w:t>
      </w:r>
      <w:r>
        <w:rPr>
          <w:rFonts w:hint="eastAsia" w:ascii="宋体" w:hAnsi="宋体" w:cs="宋体"/>
          <w:bCs/>
          <w:kern w:val="0"/>
          <w:szCs w:val="21"/>
          <w:highlight w:val="none"/>
        </w:rPr>
        <w:t>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中国石油所属的大庆油田</w:t>
      </w:r>
      <w:r>
        <w:rPr>
          <w:rFonts w:hint="eastAsia" w:ascii="宋体" w:hAnsi="宋体" w:cs="宋体"/>
          <w:bCs/>
          <w:kern w:val="0"/>
          <w:szCs w:val="21"/>
          <w:highlight w:val="none"/>
          <w:lang w:eastAsia="zh-CN"/>
        </w:rPr>
        <w:t>招投标。</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szCs w:val="21"/>
          <w:lang w:eastAsia="zh-CN"/>
        </w:rPr>
        <w:t>查</w:t>
      </w:r>
      <w:r>
        <w:rPr>
          <w:rFonts w:hint="eastAsia"/>
          <w:szCs w:val="21"/>
          <w:lang w:val="en-US" w:eastAsia="zh-CN"/>
        </w:rPr>
        <w:t>HX-JL-011</w:t>
      </w:r>
      <w:r>
        <w:rPr>
          <w:rFonts w:hint="eastAsia"/>
          <w:szCs w:val="21"/>
          <w:lang w:eastAsia="zh-CN"/>
        </w:rPr>
        <w:t>企业内审报告：</w:t>
      </w:r>
      <w:r>
        <w:rPr>
          <w:rFonts w:hint="eastAsia" w:ascii="Times New Roman" w:hAnsi="Times New Roman" w:cs="Times New Roman"/>
          <w:bCs/>
          <w:kern w:val="0"/>
          <w:szCs w:val="21"/>
          <w:lang w:val="en-US" w:eastAsia="zh-CN"/>
        </w:rPr>
        <w:t>企业内审员：夏铁军、焦丽娜 ，未能提供内审员资质证明。不符合</w:t>
      </w:r>
      <w:r>
        <w:rPr>
          <w:rFonts w:hint="eastAsia" w:ascii="宋体" w:hAnsi="宋体"/>
          <w:szCs w:val="21"/>
        </w:rPr>
        <w:t>标准GB/T 19022-2003标准6.</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条款 </w:t>
      </w:r>
      <w:r>
        <w:rPr>
          <w:rFonts w:hint="eastAsia" w:ascii="宋体" w:hAnsi="宋体"/>
          <w:szCs w:val="21"/>
          <w:lang w:eastAsia="zh-CN"/>
        </w:rPr>
        <w:t>能力和培训的管理</w:t>
      </w:r>
      <w:r>
        <w:rPr>
          <w:rFonts w:hint="eastAsia" w:ascii="宋体" w:hAnsi="宋体"/>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color w:val="auto"/>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2021年1月至10月，</w:t>
      </w:r>
      <w:r>
        <w:rPr>
          <w:rFonts w:hint="eastAsia" w:ascii="宋体" w:hAnsi="宋体" w:cs="宋体"/>
          <w:b w:val="0"/>
          <w:bCs/>
          <w:kern w:val="0"/>
          <w:szCs w:val="21"/>
          <w:highlight w:val="none"/>
        </w:rPr>
        <w:t>耗能为</w:t>
      </w:r>
      <w:r>
        <w:rPr>
          <w:rFonts w:hint="eastAsia" w:ascii="宋体" w:hAnsi="宋体"/>
          <w:szCs w:val="21"/>
        </w:rPr>
        <w:t>8.65</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的能源计量器具准确度等级</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2.0</w:t>
      </w:r>
      <w:r>
        <w:rPr>
          <w:rFonts w:hint="eastAsia"/>
          <w:b w:val="0"/>
          <w:bCs/>
          <w:color w:val="auto"/>
          <w:szCs w:val="21"/>
          <w:highlight w:val="none"/>
        </w:rPr>
        <w:t>级的三相</w:t>
      </w:r>
      <w:r>
        <w:rPr>
          <w:rFonts w:hint="eastAsia"/>
          <w:b w:val="0"/>
          <w:bCs/>
          <w:color w:val="auto"/>
          <w:szCs w:val="21"/>
          <w:highlight w:val="none"/>
          <w:lang w:eastAsia="zh-CN"/>
        </w:rPr>
        <w:t>三</w:t>
      </w:r>
      <w:r>
        <w:rPr>
          <w:rFonts w:hint="eastAsia"/>
          <w:b w:val="0"/>
          <w:bCs/>
          <w:color w:val="auto"/>
          <w:szCs w:val="21"/>
          <w:highlight w:val="none"/>
        </w:rPr>
        <w:t>线电能表</w:t>
      </w:r>
      <w:r>
        <w:rPr>
          <w:rFonts w:hint="eastAsia"/>
          <w:b w:val="0"/>
          <w:bCs/>
          <w:color w:val="auto"/>
          <w:szCs w:val="21"/>
          <w:highlight w:val="none"/>
          <w:lang w:val="en-US" w:eastAsia="zh-CN"/>
        </w:rPr>
        <w:t>1块</w:t>
      </w:r>
      <w:r>
        <w:rPr>
          <w:rFonts w:hint="eastAsia"/>
          <w:b w:val="0"/>
          <w:bCs/>
          <w:color w:val="auto"/>
          <w:szCs w:val="21"/>
          <w:highlight w:val="none"/>
          <w:lang w:eastAsia="zh-CN"/>
        </w:rPr>
        <w:t>。水表2.</w:t>
      </w:r>
      <w:r>
        <w:rPr>
          <w:rFonts w:hint="eastAsia"/>
          <w:b w:val="0"/>
          <w:bCs/>
          <w:color w:val="auto"/>
          <w:szCs w:val="21"/>
          <w:highlight w:val="none"/>
          <w:lang w:val="en-US" w:eastAsia="zh-CN"/>
        </w:rPr>
        <w:t>5</w:t>
      </w:r>
      <w:r>
        <w:rPr>
          <w:rFonts w:hint="eastAsia"/>
          <w:b w:val="0"/>
          <w:bCs/>
          <w:color w:val="auto"/>
          <w:szCs w:val="21"/>
          <w:highlight w:val="none"/>
          <w:lang w:eastAsia="zh-CN"/>
        </w:rPr>
        <w:t>级</w:t>
      </w:r>
      <w:r>
        <w:rPr>
          <w:rFonts w:hint="eastAsia"/>
          <w:b w:val="0"/>
          <w:bCs/>
          <w:color w:val="auto"/>
          <w:szCs w:val="21"/>
          <w:highlight w:val="none"/>
          <w:lang w:val="en-US" w:eastAsia="zh-CN"/>
        </w:rPr>
        <w:t>1</w:t>
      </w:r>
      <w:r>
        <w:rPr>
          <w:rFonts w:hint="eastAsia"/>
          <w:b w:val="0"/>
          <w:bCs/>
          <w:color w:val="auto"/>
          <w:szCs w:val="21"/>
          <w:highlight w:val="none"/>
          <w:lang w:eastAsia="zh-CN"/>
        </w:rPr>
        <w:t>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b w:val="0"/>
          <w:bCs/>
          <w:color w:val="auto"/>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13日</w:t>
      </w:r>
      <w:r>
        <w:rPr>
          <w:rFonts w:hint="eastAsia" w:ascii="宋体" w:hAnsi="宋体" w:cs="宋体"/>
          <w:bCs/>
          <w:color w:val="auto"/>
          <w:kern w:val="0"/>
          <w:szCs w:val="21"/>
        </w:rPr>
        <w:t>，对</w:t>
      </w:r>
      <w:r>
        <w:rPr>
          <w:rFonts w:hint="eastAsia" w:ascii="宋体" w:hAnsi="宋体"/>
          <w:color w:val="auto"/>
          <w:szCs w:val="21"/>
          <w:lang w:eastAsia="zh-CN"/>
        </w:rPr>
        <w:t>牡丹江鸿鑫设备制造有限公司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牡丹江鸿鑫设备制造有限公司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766445" cy="407670"/>
            <wp:effectExtent l="0" t="0" r="14605" b="11430"/>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766445" cy="40767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2021.11.13</w:t>
      </w:r>
    </w:p>
    <w:p>
      <w:pPr>
        <w:widowControl/>
        <w:spacing w:line="360" w:lineRule="auto"/>
        <w:rPr>
          <w:rFonts w:asci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eastAsia" w:ascii="宋体" w:hAnsi="宋体" w:cs="宋体"/>
          <w:kern w:val="0"/>
          <w:szCs w:val="21"/>
        </w:rPr>
        <w:drawing>
          <wp:inline distT="0" distB="0" distL="114300" distR="114300">
            <wp:extent cx="730250" cy="267335"/>
            <wp:effectExtent l="0" t="0" r="12700" b="18415"/>
            <wp:docPr id="5" name="图片 1" descr="74fa4cfdebc53ff7fb9a33efa73c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4fa4cfdebc53ff7fb9a33efa73ce31"/>
                    <pic:cNvPicPr>
                      <a:picLocks noChangeAspect="1"/>
                    </pic:cNvPicPr>
                  </pic:nvPicPr>
                  <pic:blipFill>
                    <a:blip r:embed="rId7"/>
                    <a:srcRect l="12421" t="19739" r="4930" b="15953"/>
                    <a:stretch>
                      <a:fillRect/>
                    </a:stretch>
                  </pic:blipFill>
                  <pic:spPr>
                    <a:xfrm>
                      <a:off x="0" y="0"/>
                      <a:ext cx="730250" cy="267335"/>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2021.11.13</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4895BC8"/>
    <w:rsid w:val="049D6929"/>
    <w:rsid w:val="07A22038"/>
    <w:rsid w:val="07F6331D"/>
    <w:rsid w:val="081433FF"/>
    <w:rsid w:val="08264BB5"/>
    <w:rsid w:val="0866484A"/>
    <w:rsid w:val="08AF38B7"/>
    <w:rsid w:val="08C9577B"/>
    <w:rsid w:val="0CC1767E"/>
    <w:rsid w:val="0DE1402D"/>
    <w:rsid w:val="1051458B"/>
    <w:rsid w:val="10FC7F7C"/>
    <w:rsid w:val="145913C3"/>
    <w:rsid w:val="15E2587E"/>
    <w:rsid w:val="18895737"/>
    <w:rsid w:val="1ACA15A5"/>
    <w:rsid w:val="1D644926"/>
    <w:rsid w:val="20245D89"/>
    <w:rsid w:val="20B6593D"/>
    <w:rsid w:val="21C517C9"/>
    <w:rsid w:val="2253747B"/>
    <w:rsid w:val="228F589D"/>
    <w:rsid w:val="238D590A"/>
    <w:rsid w:val="23E3439E"/>
    <w:rsid w:val="24AF7171"/>
    <w:rsid w:val="259C7022"/>
    <w:rsid w:val="25FE255B"/>
    <w:rsid w:val="265C013C"/>
    <w:rsid w:val="27816C16"/>
    <w:rsid w:val="27954974"/>
    <w:rsid w:val="299E6A98"/>
    <w:rsid w:val="2B030917"/>
    <w:rsid w:val="2C4F0E75"/>
    <w:rsid w:val="2E9535C2"/>
    <w:rsid w:val="2F3769D8"/>
    <w:rsid w:val="2F98679A"/>
    <w:rsid w:val="313D2294"/>
    <w:rsid w:val="31647056"/>
    <w:rsid w:val="321A44F5"/>
    <w:rsid w:val="32A1519D"/>
    <w:rsid w:val="356A4FB1"/>
    <w:rsid w:val="36BD22BD"/>
    <w:rsid w:val="3868400B"/>
    <w:rsid w:val="38880CD0"/>
    <w:rsid w:val="39332D8A"/>
    <w:rsid w:val="396A7926"/>
    <w:rsid w:val="3F903830"/>
    <w:rsid w:val="408706D3"/>
    <w:rsid w:val="414D59F2"/>
    <w:rsid w:val="44C42B5F"/>
    <w:rsid w:val="49F92A91"/>
    <w:rsid w:val="4A126716"/>
    <w:rsid w:val="4ABD7835"/>
    <w:rsid w:val="4BD16FB0"/>
    <w:rsid w:val="4C7338BB"/>
    <w:rsid w:val="4F326BA2"/>
    <w:rsid w:val="505F1232"/>
    <w:rsid w:val="50CD4C5B"/>
    <w:rsid w:val="50FA73B2"/>
    <w:rsid w:val="52D06ACC"/>
    <w:rsid w:val="53FD699A"/>
    <w:rsid w:val="548C10AE"/>
    <w:rsid w:val="553819D4"/>
    <w:rsid w:val="55846126"/>
    <w:rsid w:val="56956551"/>
    <w:rsid w:val="56A52AE7"/>
    <w:rsid w:val="57961E25"/>
    <w:rsid w:val="57EE0A87"/>
    <w:rsid w:val="583773EE"/>
    <w:rsid w:val="58FA7A57"/>
    <w:rsid w:val="5AD7341B"/>
    <w:rsid w:val="5B4471AA"/>
    <w:rsid w:val="5BED2E50"/>
    <w:rsid w:val="5D8B40D4"/>
    <w:rsid w:val="5E541A14"/>
    <w:rsid w:val="60EE17B6"/>
    <w:rsid w:val="60FF6850"/>
    <w:rsid w:val="63244996"/>
    <w:rsid w:val="653A413B"/>
    <w:rsid w:val="65B354C1"/>
    <w:rsid w:val="66077BB9"/>
    <w:rsid w:val="665054B9"/>
    <w:rsid w:val="66B707C5"/>
    <w:rsid w:val="66DA4EE7"/>
    <w:rsid w:val="678058D7"/>
    <w:rsid w:val="69443018"/>
    <w:rsid w:val="695375A4"/>
    <w:rsid w:val="69DD4616"/>
    <w:rsid w:val="6D6D47E3"/>
    <w:rsid w:val="6DB43658"/>
    <w:rsid w:val="6E4A2C41"/>
    <w:rsid w:val="6F03617D"/>
    <w:rsid w:val="6FCB3BEE"/>
    <w:rsid w:val="70F168D6"/>
    <w:rsid w:val="71A75E13"/>
    <w:rsid w:val="756C46F1"/>
    <w:rsid w:val="75AA7005"/>
    <w:rsid w:val="75C30245"/>
    <w:rsid w:val="79880B95"/>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2021-11-14T05:18:41Z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26855577654D4779AED556AE7C30A6C9</vt:lpwstr>
  </property>
</Properties>
</file>