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1128-2021-E</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重庆永顺办公设备有限公司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重庆永顺办公设备有限公司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重庆市沙坪坝区渝碚路222号附4-8-1号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重庆市沙坪坝区渝碚路222号3-9-4</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罗琼</w:t>
            </w:r>
            <w:bookmarkEnd w:id="10"/>
          </w:p>
        </w:tc>
        <w:tc>
          <w:tcPr>
            <w:tcW w:w="1313" w:type="dxa"/>
            <w:vAlign w:val="center"/>
          </w:tcPr>
          <w:p>
            <w:r>
              <w:rPr>
                <w:rFonts w:hint="eastAsia"/>
              </w:rPr>
              <w:t>电话.</w:t>
            </w:r>
          </w:p>
        </w:tc>
        <w:tc>
          <w:tcPr>
            <w:tcW w:w="2180" w:type="dxa"/>
            <w:vAlign w:val="center"/>
          </w:tcPr>
          <w:p>
            <w:bookmarkStart w:id="11" w:name="联系人电话"/>
            <w:r>
              <w:t>15523836607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徐惠</w:t>
            </w:r>
            <w:bookmarkEnd w:id="13"/>
          </w:p>
        </w:tc>
        <w:tc>
          <w:tcPr>
            <w:tcW w:w="1313" w:type="dxa"/>
            <w:vAlign w:val="center"/>
          </w:tcPr>
          <w:p>
            <w:r>
              <w:rPr>
                <w:rFonts w:hint="eastAsia"/>
              </w:rPr>
              <w:t>管理者代表</w:t>
            </w:r>
          </w:p>
        </w:tc>
        <w:tc>
          <w:tcPr>
            <w:tcW w:w="2180" w:type="dxa"/>
          </w:tcPr>
          <w:p>
            <w:bookmarkStart w:id="14" w:name="管理者代表"/>
            <w:r>
              <w:t>罗琼</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jc w:val="both"/>
              <w:rPr>
                <w:rFonts w:hint="default"/>
                <w:color w:val="auto"/>
                <w:highlight w:val="none"/>
                <w:lang w:val="en-US" w:eastAsia="zh-CN"/>
              </w:rPr>
            </w:pPr>
            <w:r>
              <w:rPr>
                <w:rFonts w:hint="eastAsia"/>
                <w:color w:val="auto"/>
                <w:highlight w:val="none"/>
                <w:lang w:val="en-US" w:eastAsia="zh-CN"/>
              </w:rPr>
              <w:t>销售服务流程:</w:t>
            </w:r>
          </w:p>
          <w:p>
            <w:r>
              <w:rPr>
                <w:rFonts w:hint="eastAsia"/>
                <w:color w:val="auto"/>
                <w:highlight w:val="none"/>
                <w:lang w:val="en-US" w:eastAsia="zh-CN"/>
              </w:rPr>
              <w:t>业务洽谈----</w:t>
            </w:r>
            <w:r>
              <w:rPr>
                <w:rFonts w:hint="eastAsia"/>
                <w:color w:val="auto"/>
                <w:highlight w:val="none"/>
              </w:rPr>
              <w:t>签订合同-----采购产品----产品交付----售后服务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2021年11月04日 上午至2021年11月05日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pPr>
              <w:rPr>
                <w:rFonts w:ascii="Times New Roman" w:hAnsi="Times New Roman" w:eastAsia="宋体" w:cs="Times New Roman"/>
                <w:kern w:val="2"/>
                <w:sz w:val="21"/>
                <w:szCs w:val="24"/>
                <w:lang w:val="en-US" w:eastAsia="zh-CN" w:bidi="ar-SA"/>
              </w:rPr>
            </w:pPr>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0" w:name="审核范围"/>
            <w:r>
              <w:t>实木家具、钢木家具、金属家具、教学家具、软体家具、智能密集架、货架的销售所涉及场所的相关环境管理活动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29.10.05</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20</w:t>
            </w:r>
            <w:r>
              <w:rPr>
                <w:rFonts w:hint="eastAsia" w:ascii="Times New Roman" w:hAnsi="Times New Roman" w:eastAsia="宋体" w:cs="Times New Roman"/>
                <w:lang w:val="en-US" w:eastAsia="zh-CN"/>
              </w:rPr>
              <w:t>21</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月5日</w:t>
            </w:r>
          </w:p>
        </w:tc>
        <w:tc>
          <w:tcPr>
            <w:tcW w:w="1883" w:type="dxa"/>
            <w:vAlign w:val="center"/>
          </w:tcPr>
          <w:p>
            <w:pPr>
              <w:rPr>
                <w:rFonts w:ascii="Times New Roman" w:hAnsi="Times New Roman" w:eastAsia="宋体" w:cs="Times New Roman"/>
                <w:kern w:val="2"/>
                <w:sz w:val="21"/>
                <w:szCs w:val="24"/>
                <w:lang w:val="en-US" w:eastAsia="zh-CN" w:bidi="ar-SA"/>
              </w:rPr>
            </w:pPr>
            <w:r>
              <w:rPr>
                <w:rFonts w:hint="eastAsia"/>
              </w:rPr>
              <w:t>管理体系运行已超过3个月</w:t>
            </w:r>
          </w:p>
        </w:tc>
        <w:tc>
          <w:tcPr>
            <w:tcW w:w="3215" w:type="dxa"/>
            <w:vAlign w:val="center"/>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2"/>
        <w:gridCol w:w="1405"/>
        <w:gridCol w:w="529"/>
        <w:gridCol w:w="3385"/>
        <w:gridCol w:w="9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002" w:type="dxa"/>
            <w:shd w:val="clear" w:color="auto" w:fill="F3F3F3"/>
            <w:tcMar>
              <w:left w:w="57" w:type="dxa"/>
              <w:right w:w="57" w:type="dxa"/>
            </w:tcMar>
          </w:tcPr>
          <w:p>
            <w:r>
              <w:rPr>
                <w:rFonts w:hint="eastAsia"/>
              </w:rPr>
              <w:t>场所编号</w:t>
            </w:r>
          </w:p>
          <w:p>
            <w:r>
              <w:rPr>
                <w:rFonts w:hint="eastAsia"/>
              </w:rPr>
              <w:t>(分证书序号）</w:t>
            </w:r>
          </w:p>
        </w:tc>
        <w:tc>
          <w:tcPr>
            <w:tcW w:w="1912" w:type="dxa"/>
            <w:shd w:val="clear" w:color="auto" w:fill="F3F3F3"/>
            <w:tcMar>
              <w:left w:w="57" w:type="dxa"/>
              <w:right w:w="57" w:type="dxa"/>
            </w:tcMar>
          </w:tcPr>
          <w:p>
            <w:r>
              <w:rPr>
                <w:rFonts w:hint="eastAsia"/>
              </w:rPr>
              <w:t>组织名称及注册场所地址</w:t>
            </w:r>
          </w:p>
        </w:tc>
        <w:tc>
          <w:tcPr>
            <w:tcW w:w="1405" w:type="dxa"/>
            <w:shd w:val="clear" w:color="auto" w:fill="F3F3F3"/>
            <w:tcMar>
              <w:left w:w="57" w:type="dxa"/>
              <w:right w:w="57" w:type="dxa"/>
            </w:tcMar>
          </w:tcPr>
          <w:p>
            <w:r>
              <w:rPr>
                <w:rFonts w:hint="eastAsia"/>
              </w:rPr>
              <w:t>经营场所的地址</w:t>
            </w:r>
          </w:p>
          <w:p>
            <w:r>
              <w:rPr>
                <w:rFonts w:hint="eastAsia"/>
              </w:rPr>
              <w:t>（多现场和临时现场）</w:t>
            </w:r>
          </w:p>
        </w:tc>
        <w:tc>
          <w:tcPr>
            <w:tcW w:w="529" w:type="dxa"/>
            <w:shd w:val="clear" w:color="auto" w:fill="F3F3F3"/>
            <w:tcMar>
              <w:left w:w="57" w:type="dxa"/>
              <w:right w:w="57" w:type="dxa"/>
            </w:tcMar>
          </w:tcPr>
          <w:p>
            <w:r>
              <w:rPr>
                <w:rFonts w:hint="eastAsia"/>
              </w:rPr>
              <w:t>员工人数</w:t>
            </w:r>
          </w:p>
        </w:tc>
        <w:tc>
          <w:tcPr>
            <w:tcW w:w="3385" w:type="dxa"/>
            <w:shd w:val="clear" w:color="auto" w:fill="F3F3F3"/>
            <w:tcMar>
              <w:left w:w="57" w:type="dxa"/>
              <w:right w:w="57" w:type="dxa"/>
            </w:tcMar>
          </w:tcPr>
          <w:p>
            <w:r>
              <w:rPr>
                <w:rFonts w:hint="eastAsia"/>
              </w:rPr>
              <w:t>审核范围（产品和过程）</w:t>
            </w:r>
          </w:p>
          <w:p/>
          <w:p/>
        </w:tc>
        <w:tc>
          <w:tcPr>
            <w:tcW w:w="99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02" w:type="dxa"/>
            <w:vAlign w:val="center"/>
          </w:tcPr>
          <w:p>
            <w:pPr>
              <w:rPr>
                <w:lang w:eastAsia="ja-JP"/>
              </w:rPr>
            </w:pPr>
            <w:r>
              <w:rPr>
                <w:rFonts w:hint="eastAsia"/>
                <w:lang w:eastAsia="ja-JP"/>
              </w:rPr>
              <w:t>01</w:t>
            </w:r>
          </w:p>
        </w:tc>
        <w:tc>
          <w:tcPr>
            <w:tcW w:w="1912" w:type="dxa"/>
          </w:tcPr>
          <w:p>
            <w:pPr>
              <w:rPr>
                <w:rFonts w:hint="eastAsia" w:eastAsia="宋体"/>
                <w:lang w:val="en-US" w:eastAsia="zh-CN"/>
              </w:rPr>
            </w:pPr>
            <w:r>
              <w:rPr>
                <w:sz w:val="21"/>
                <w:szCs w:val="21"/>
              </w:rPr>
              <w:t>重庆永顺办公设备有限公司</w:t>
            </w:r>
            <w:r>
              <w:rPr>
                <w:rFonts w:hint="eastAsia"/>
                <w:sz w:val="21"/>
                <w:szCs w:val="21"/>
                <w:lang w:val="en-US" w:eastAsia="zh-CN"/>
              </w:rPr>
              <w:t>/</w:t>
            </w:r>
            <w:r>
              <w:rPr>
                <w:rFonts w:asciiTheme="minorEastAsia" w:hAnsiTheme="minorEastAsia" w:eastAsiaTheme="minorEastAsia"/>
                <w:sz w:val="20"/>
              </w:rPr>
              <w:t>重庆市沙坪坝区渝碚路222号附4-8-1号</w:t>
            </w:r>
          </w:p>
        </w:tc>
        <w:tc>
          <w:tcPr>
            <w:tcW w:w="1405" w:type="dxa"/>
          </w:tcPr>
          <w:p>
            <w:pPr>
              <w:rPr>
                <w:lang w:val="de-DE" w:eastAsia="ja-JP"/>
              </w:rPr>
            </w:pPr>
            <w:r>
              <w:rPr>
                <w:rFonts w:asciiTheme="minorEastAsia" w:hAnsiTheme="minorEastAsia" w:eastAsiaTheme="minorEastAsia"/>
                <w:sz w:val="20"/>
              </w:rPr>
              <w:t>重庆市沙坪坝区渝碚路222号3-9-4</w:t>
            </w:r>
          </w:p>
        </w:tc>
        <w:tc>
          <w:tcPr>
            <w:tcW w:w="529" w:type="dxa"/>
            <w:vAlign w:val="center"/>
          </w:tcPr>
          <w:p>
            <w:pPr>
              <w:rPr>
                <w:rFonts w:hint="default" w:eastAsia="宋体"/>
                <w:lang w:val="en-US" w:eastAsia="zh-CN"/>
              </w:rPr>
            </w:pPr>
            <w:r>
              <w:rPr>
                <w:rFonts w:hint="eastAsia"/>
                <w:lang w:val="en-US" w:eastAsia="zh-CN"/>
              </w:rPr>
              <w:t>22</w:t>
            </w:r>
          </w:p>
        </w:tc>
        <w:tc>
          <w:tcPr>
            <w:tcW w:w="3385" w:type="dxa"/>
            <w:vAlign w:val="center"/>
          </w:tcPr>
          <w:p>
            <w:pPr>
              <w:rPr>
                <w:lang w:eastAsia="ja-JP"/>
              </w:rPr>
            </w:pPr>
            <w:r>
              <w:rPr>
                <w:sz w:val="20"/>
              </w:rPr>
              <w:t>实木家具、钢木家具、金属家具、教学家具、软体家具、智能密集架、货架的销售所涉及场所的相关环境管理活动</w:t>
            </w:r>
          </w:p>
        </w:tc>
        <w:tc>
          <w:tcPr>
            <w:tcW w:w="991" w:type="dxa"/>
            <w:vAlign w:val="center"/>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GB/T 24001-2016</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2" w:type="dxa"/>
            <w:vAlign w:val="center"/>
          </w:tcPr>
          <w:p>
            <w:pPr>
              <w:rPr>
                <w:lang w:eastAsia="ja-JP"/>
              </w:rPr>
            </w:pPr>
            <w:r>
              <w:rPr>
                <w:rFonts w:hint="eastAsia"/>
                <w:lang w:eastAsia="ja-JP"/>
              </w:rPr>
              <w:t>02</w:t>
            </w:r>
          </w:p>
        </w:tc>
        <w:tc>
          <w:tcPr>
            <w:tcW w:w="1912" w:type="dxa"/>
            <w:vAlign w:val="center"/>
          </w:tcPr>
          <w:p>
            <w:pPr>
              <w:rPr>
                <w:lang w:eastAsia="ja-JP"/>
              </w:rPr>
            </w:pPr>
          </w:p>
        </w:tc>
        <w:tc>
          <w:tcPr>
            <w:tcW w:w="1405" w:type="dxa"/>
            <w:vAlign w:val="center"/>
          </w:tcPr>
          <w:p>
            <w:pPr>
              <w:rPr>
                <w:lang w:eastAsia="ja-JP"/>
              </w:rPr>
            </w:pPr>
          </w:p>
        </w:tc>
        <w:tc>
          <w:tcPr>
            <w:tcW w:w="529" w:type="dxa"/>
            <w:vAlign w:val="center"/>
          </w:tcPr>
          <w:p>
            <w:pPr>
              <w:rPr>
                <w:lang w:eastAsia="ja-JP"/>
              </w:rPr>
            </w:pPr>
          </w:p>
        </w:tc>
        <w:tc>
          <w:tcPr>
            <w:tcW w:w="3385" w:type="dxa"/>
            <w:vAlign w:val="center"/>
          </w:tcPr>
          <w:p>
            <w:pPr>
              <w:rPr>
                <w:lang w:eastAsia="ja-JP"/>
              </w:rPr>
            </w:pPr>
          </w:p>
        </w:tc>
        <w:tc>
          <w:tcPr>
            <w:tcW w:w="99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2" w:type="dxa"/>
            <w:vAlign w:val="center"/>
          </w:tcPr>
          <w:p>
            <w:pPr>
              <w:rPr>
                <w:lang w:eastAsia="ja-JP"/>
              </w:rPr>
            </w:pPr>
            <w:r>
              <w:rPr>
                <w:rFonts w:hint="eastAsia"/>
                <w:lang w:eastAsia="ja-JP"/>
              </w:rPr>
              <w:t>03</w:t>
            </w:r>
          </w:p>
        </w:tc>
        <w:tc>
          <w:tcPr>
            <w:tcW w:w="1912" w:type="dxa"/>
            <w:vAlign w:val="center"/>
          </w:tcPr>
          <w:p>
            <w:pPr>
              <w:rPr>
                <w:lang w:eastAsia="ja-JP"/>
              </w:rPr>
            </w:pPr>
          </w:p>
        </w:tc>
        <w:tc>
          <w:tcPr>
            <w:tcW w:w="1405" w:type="dxa"/>
            <w:vAlign w:val="center"/>
          </w:tcPr>
          <w:p>
            <w:pPr>
              <w:rPr>
                <w:lang w:eastAsia="ja-JP"/>
              </w:rPr>
            </w:pPr>
          </w:p>
        </w:tc>
        <w:tc>
          <w:tcPr>
            <w:tcW w:w="529" w:type="dxa"/>
            <w:vAlign w:val="center"/>
          </w:tcPr>
          <w:p>
            <w:pPr>
              <w:rPr>
                <w:lang w:eastAsia="ja-JP"/>
              </w:rPr>
            </w:pPr>
          </w:p>
        </w:tc>
        <w:tc>
          <w:tcPr>
            <w:tcW w:w="3385" w:type="dxa"/>
            <w:vAlign w:val="center"/>
          </w:tcPr>
          <w:p>
            <w:pPr>
              <w:rPr>
                <w:lang w:eastAsia="ja-JP"/>
              </w:rPr>
            </w:pPr>
          </w:p>
        </w:tc>
        <w:tc>
          <w:tcPr>
            <w:tcW w:w="99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02" w:type="dxa"/>
            <w:vAlign w:val="center"/>
          </w:tcPr>
          <w:p>
            <w:pPr>
              <w:rPr>
                <w:lang w:eastAsia="ja-JP"/>
              </w:rPr>
            </w:pPr>
            <w:r>
              <w:rPr>
                <w:rFonts w:hint="eastAsia"/>
                <w:lang w:eastAsia="ja-JP"/>
              </w:rPr>
              <w:t>04</w:t>
            </w:r>
          </w:p>
        </w:tc>
        <w:tc>
          <w:tcPr>
            <w:tcW w:w="1912" w:type="dxa"/>
            <w:vAlign w:val="center"/>
          </w:tcPr>
          <w:p>
            <w:pPr>
              <w:rPr>
                <w:lang w:eastAsia="ja-JP"/>
              </w:rPr>
            </w:pPr>
          </w:p>
        </w:tc>
        <w:tc>
          <w:tcPr>
            <w:tcW w:w="1405" w:type="dxa"/>
            <w:vAlign w:val="center"/>
          </w:tcPr>
          <w:p>
            <w:pPr>
              <w:rPr>
                <w:lang w:eastAsia="ja-JP"/>
              </w:rPr>
            </w:pPr>
          </w:p>
        </w:tc>
        <w:tc>
          <w:tcPr>
            <w:tcW w:w="529" w:type="dxa"/>
            <w:vAlign w:val="center"/>
          </w:tcPr>
          <w:p>
            <w:pPr>
              <w:rPr>
                <w:lang w:eastAsia="ja-JP"/>
              </w:rPr>
            </w:pPr>
          </w:p>
        </w:tc>
        <w:tc>
          <w:tcPr>
            <w:tcW w:w="3385" w:type="dxa"/>
            <w:vAlign w:val="center"/>
          </w:tcPr>
          <w:p>
            <w:pPr>
              <w:rPr>
                <w:lang w:eastAsia="ja-JP"/>
              </w:rPr>
            </w:pPr>
          </w:p>
        </w:tc>
        <w:tc>
          <w:tcPr>
            <w:tcW w:w="99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2" w:type="dxa"/>
            <w:vAlign w:val="center"/>
          </w:tcPr>
          <w:p>
            <w:pPr>
              <w:rPr>
                <w:lang w:eastAsia="ja-JP"/>
              </w:rPr>
            </w:pPr>
            <w:r>
              <w:rPr>
                <w:rFonts w:hint="eastAsia"/>
                <w:lang w:eastAsia="ja-JP"/>
              </w:rPr>
              <w:t>05</w:t>
            </w:r>
          </w:p>
        </w:tc>
        <w:tc>
          <w:tcPr>
            <w:tcW w:w="1912" w:type="dxa"/>
            <w:vAlign w:val="center"/>
          </w:tcPr>
          <w:p>
            <w:pPr>
              <w:rPr>
                <w:lang w:eastAsia="ja-JP"/>
              </w:rPr>
            </w:pPr>
          </w:p>
        </w:tc>
        <w:tc>
          <w:tcPr>
            <w:tcW w:w="1405" w:type="dxa"/>
            <w:vAlign w:val="center"/>
          </w:tcPr>
          <w:p>
            <w:pPr>
              <w:rPr>
                <w:lang w:eastAsia="ja-JP"/>
              </w:rPr>
            </w:pPr>
          </w:p>
        </w:tc>
        <w:tc>
          <w:tcPr>
            <w:tcW w:w="529" w:type="dxa"/>
            <w:vAlign w:val="center"/>
          </w:tcPr>
          <w:p>
            <w:pPr>
              <w:rPr>
                <w:lang w:eastAsia="ja-JP"/>
              </w:rPr>
            </w:pPr>
          </w:p>
        </w:tc>
        <w:tc>
          <w:tcPr>
            <w:tcW w:w="3385" w:type="dxa"/>
            <w:vAlign w:val="center"/>
          </w:tcPr>
          <w:p>
            <w:pPr>
              <w:rPr>
                <w:lang w:eastAsia="ja-JP"/>
              </w:rPr>
            </w:pPr>
          </w:p>
        </w:tc>
        <w:tc>
          <w:tcPr>
            <w:tcW w:w="99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315"/>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22" w:type="dxa"/>
            <w:vAlign w:val="center"/>
          </w:tcPr>
          <w:p>
            <w:r>
              <w:rPr>
                <w:rFonts w:hint="eastAsia"/>
              </w:rPr>
              <w:t>姓名</w:t>
            </w:r>
          </w:p>
        </w:tc>
        <w:tc>
          <w:tcPr>
            <w:tcW w:w="1315"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22" w:type="dxa"/>
            <w:vAlign w:val="center"/>
          </w:tcPr>
          <w:p>
            <w:r>
              <w:t>冉景洲</w:t>
            </w:r>
          </w:p>
        </w:tc>
        <w:tc>
          <w:tcPr>
            <w:tcW w:w="1315" w:type="dxa"/>
            <w:vAlign w:val="center"/>
          </w:tcPr>
          <w:p>
            <w:r>
              <w:t>组长</w:t>
            </w:r>
          </w:p>
        </w:tc>
        <w:tc>
          <w:tcPr>
            <w:tcW w:w="711" w:type="dxa"/>
            <w:vAlign w:val="center"/>
          </w:tcPr>
          <w:p>
            <w:r>
              <w:t>女</w:t>
            </w:r>
          </w:p>
        </w:tc>
        <w:tc>
          <w:tcPr>
            <w:tcW w:w="3870" w:type="dxa"/>
            <w:vAlign w:val="center"/>
          </w:tcPr>
          <w:p>
            <w:r>
              <w:t>2020-N1EMS-1267598</w:t>
            </w:r>
          </w:p>
        </w:tc>
        <w:tc>
          <w:tcPr>
            <w:tcW w:w="2179" w:type="dxa"/>
            <w:vAlign w:val="center"/>
          </w:tcPr>
          <w:p>
            <w: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22" w:type="dxa"/>
            <w:vAlign w:val="center"/>
          </w:tcPr>
          <w:p/>
        </w:tc>
        <w:tc>
          <w:tcPr>
            <w:tcW w:w="1315"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2" w:type="dxa"/>
            <w:vAlign w:val="center"/>
          </w:tcPr>
          <w:p>
            <w:r>
              <w:rPr>
                <w:rFonts w:hint="eastAsia"/>
              </w:rPr>
              <w:t>姓名</w:t>
            </w:r>
          </w:p>
        </w:tc>
        <w:tc>
          <w:tcPr>
            <w:tcW w:w="1315"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2" w:type="dxa"/>
            <w:vAlign w:val="center"/>
          </w:tcPr>
          <w:p/>
        </w:tc>
        <w:tc>
          <w:tcPr>
            <w:tcW w:w="1315"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2" w:type="dxa"/>
            <w:vAlign w:val="center"/>
          </w:tcPr>
          <w:p/>
        </w:tc>
        <w:tc>
          <w:tcPr>
            <w:tcW w:w="1315"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实木家具、钢木家具、金属家具、教学家具、软体家具、智能密集架、货架的销售所涉及场所的相关环境管理活动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3"/>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13"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7" w:hRule="exact"/>
          <w:jc w:val="center"/>
        </w:trPr>
        <w:tc>
          <w:tcPr>
            <w:tcW w:w="1713"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59264" behindDoc="0" locked="0" layoutInCell="1" allowOverlap="1">
                  <wp:simplePos x="0" y="0"/>
                  <wp:positionH relativeFrom="column">
                    <wp:posOffset>334645</wp:posOffset>
                  </wp:positionH>
                  <wp:positionV relativeFrom="paragraph">
                    <wp:posOffset>111125</wp:posOffset>
                  </wp:positionV>
                  <wp:extent cx="554990" cy="280035"/>
                  <wp:effectExtent l="0" t="0" r="3810" b="12065"/>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54990" cy="280035"/>
                          </a:xfrm>
                          <a:prstGeom prst="rect">
                            <a:avLst/>
                          </a:prstGeom>
                        </pic:spPr>
                      </pic:pic>
                    </a:graphicData>
                  </a:graphic>
                </wp:anchor>
              </w:drawing>
            </w:r>
          </w:p>
          <w:p>
            <w:pPr>
              <w:rPr>
                <w:rFonts w:hint="eastAsia" w:eastAsia="宋体"/>
                <w:lang w:eastAsia="zh-CN"/>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2021年11月5日</w:t>
            </w:r>
          </w:p>
        </w:tc>
      </w:tr>
    </w:tbl>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ascii="Wingdings" w:hAnsi="Wingdings"/>
                <w:lang w:eastAsia="zh-CN"/>
              </w:rPr>
              <w:t>□</w:t>
            </w:r>
            <w:r>
              <w:rPr>
                <w:rFonts w:hint="eastAsia"/>
              </w:rPr>
              <w:t xml:space="preserve">生产 </w:t>
            </w:r>
            <w:r>
              <w:rPr>
                <w:rFonts w:hint="eastAsia" w:ascii="Wingdings" w:hAnsi="Wingdings"/>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ascii="Wingdings" w:hAnsi="Wingdings"/>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cs="宋体"/>
                <w:u w:val="single"/>
                <w:lang w:eastAsia="zh-CN"/>
              </w:rPr>
              <w:t>防治污染、节能低耗、守法经营、持续发展。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35"/>
              <w:gridCol w:w="115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3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51"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335"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51"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335"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5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335" w:type="dxa"/>
                  <w:shd w:val="clear" w:color="auto" w:fill="auto"/>
                  <w:vAlign w:val="center"/>
                </w:tcPr>
                <w:p>
                  <w:pPr>
                    <w:shd w:val="clear" w:color="auto" w:fill="EBF1DE" w:themeFill="accent3" w:themeFillTint="32"/>
                    <w:rPr>
                      <w:rFonts w:ascii="宋体" w:hAnsi="宋体"/>
                      <w:highlight w:val="none"/>
                    </w:rPr>
                  </w:pPr>
                </w:p>
              </w:tc>
              <w:tc>
                <w:tcPr>
                  <w:tcW w:w="1151"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335" w:type="dxa"/>
                  <w:shd w:val="clear" w:color="auto" w:fill="auto"/>
                  <w:vAlign w:val="center"/>
                </w:tcPr>
                <w:p>
                  <w:pPr>
                    <w:shd w:val="clear" w:color="auto" w:fill="EBF1DE" w:themeFill="accent3" w:themeFillTint="32"/>
                    <w:rPr>
                      <w:rFonts w:ascii="宋体" w:hAnsi="宋体"/>
                    </w:rPr>
                  </w:pPr>
                </w:p>
              </w:tc>
              <w:tc>
                <w:tcPr>
                  <w:tcW w:w="1151"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w:t>
            </w:r>
            <w:r>
              <w:rPr>
                <w:rFonts w:hint="eastAsia" w:ascii="Times New Roman" w:hAnsi="Times New Roman" w:eastAsia="宋体" w:cs="Times New Roman"/>
                <w:highlight w:val="none"/>
              </w:rPr>
              <w:t>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cs="Times New Roman"/>
                <w:highlight w:val="none"/>
                <w:lang w:val="en-US" w:eastAsia="zh-CN"/>
              </w:rPr>
              <w:t>办公</w:t>
            </w:r>
            <w:r>
              <w:rPr>
                <w:rFonts w:hint="eastAsia" w:ascii="Times New Roman" w:hAnsi="Times New Roman" w:eastAsia="宋体" w:cs="Times New Roman"/>
                <w:highlight w:val="none"/>
              </w:rPr>
              <w:t xml:space="preserve">面积 </w:t>
            </w:r>
            <w:r>
              <w:rPr>
                <w:rFonts w:hint="eastAsia" w:cs="Times New Roman"/>
                <w:highlight w:val="none"/>
                <w:lang w:val="en-US" w:eastAsia="zh-CN"/>
              </w:rPr>
              <w:t>13</w:t>
            </w:r>
            <w:r>
              <w:rPr>
                <w:rFonts w:hint="eastAsia" w:ascii="Times New Roman" w:hAnsi="Times New Roman" w:cs="Times New Roman"/>
                <w:highlight w:val="none"/>
                <w:lang w:val="en-US" w:eastAsia="zh-CN"/>
              </w:rPr>
              <w:t>0</w:t>
            </w:r>
            <w:r>
              <w:rPr>
                <w:rFonts w:hint="eastAsia" w:ascii="Times New Roman" w:hAnsi="Times New Roman" w:eastAsia="宋体" w:cs="Times New Roman"/>
                <w:highlight w:val="none"/>
                <w:lang w:val="en-US" w:eastAsia="zh-CN"/>
              </w:rPr>
              <w:t>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cs="Times New Roman"/>
                <w:highlight w:val="none"/>
                <w:u w:val="single"/>
                <w:lang w:val="en-US" w:eastAsia="zh-CN"/>
              </w:rPr>
              <w:t>1</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办公设施、电脑、打印机</w:t>
            </w:r>
            <w:r>
              <w:rPr>
                <w:rFonts w:hint="eastAsia" w:ascii="Times New Roman" w:hAnsi="Times New Roman" w:eastAsia="宋体" w:cs="Times New Roman"/>
                <w:highlight w:val="none"/>
                <w:lang w:eastAsia="zh-CN"/>
              </w:rPr>
              <w:t>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2021年</w:t>
            </w:r>
            <w:r>
              <w:rPr>
                <w:rFonts w:hint="eastAsia"/>
                <w:highlight w:val="none"/>
                <w:u w:val="single"/>
                <w:lang w:val="en-US" w:eastAsia="zh-CN"/>
              </w:rPr>
              <w:t>7</w:t>
            </w:r>
            <w:r>
              <w:rPr>
                <w:rFonts w:hint="eastAsia"/>
                <w:highlight w:val="none"/>
                <w:u w:val="single"/>
                <w:lang w:eastAsia="zh-CN"/>
              </w:rPr>
              <w:t>月1</w:t>
            </w:r>
            <w:r>
              <w:rPr>
                <w:rFonts w:hint="eastAsia"/>
                <w:highlight w:val="none"/>
                <w:u w:val="single"/>
                <w:lang w:val="en-US" w:eastAsia="zh-CN"/>
              </w:rPr>
              <w:t>0</w:t>
            </w:r>
            <w:r>
              <w:rPr>
                <w:rFonts w:hint="eastAsia"/>
                <w:highlight w:val="none"/>
                <w:u w:val="single"/>
                <w:lang w:eastAsia="zh-CN"/>
              </w:rPr>
              <w:t>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highlight w:val="none"/>
              </w:rPr>
            </w:pPr>
            <w:r>
              <w:rPr>
                <w:rFonts w:hint="eastAsia"/>
              </w:rPr>
              <w:t>组织已分析和评价</w:t>
            </w:r>
            <w:r>
              <w:rPr>
                <w:rFonts w:hint="eastAsia"/>
                <w:highlight w:val="none"/>
              </w:rPr>
              <w:t>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w:t>
            </w:r>
            <w:r>
              <w:rPr>
                <w:rFonts w:hint="eastAsia"/>
                <w:highlight w:val="none"/>
                <w:u w:val="single"/>
                <w:lang w:val="en-US" w:eastAsia="zh-CN"/>
              </w:rPr>
              <w:t>8</w:t>
            </w:r>
            <w:r>
              <w:rPr>
                <w:rFonts w:hint="eastAsia"/>
                <w:highlight w:val="none"/>
                <w:u w:val="single"/>
                <w:lang w:eastAsia="zh-CN"/>
              </w:rPr>
              <w:t>月</w:t>
            </w:r>
            <w:r>
              <w:rPr>
                <w:rFonts w:hint="eastAsia"/>
                <w:highlight w:val="none"/>
                <w:u w:val="single"/>
                <w:lang w:val="en-US" w:eastAsia="zh-CN"/>
              </w:rPr>
              <w:t>10</w:t>
            </w:r>
            <w:r>
              <w:rPr>
                <w:rFonts w:hint="eastAsia"/>
                <w:highlight w:val="none"/>
                <w:u w:val="single"/>
                <w:lang w:eastAsia="zh-CN"/>
              </w:rPr>
              <w:t>日</w:t>
            </w:r>
          </w:p>
          <w:p>
            <w:pPr>
              <w:shd w:val="clear" w:color="auto" w:fill="EBF1DE" w:themeFill="accent3" w:themeFillTint="32"/>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highlight w:val="none"/>
                <w:u w:val="single"/>
                <w:lang w:val="en-US" w:eastAsia="zh-CN"/>
              </w:rPr>
              <w:t>2021年7月20</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Times New Roman" w:hAnsi="Times New Roman" w:eastAsia="宋体" w:cs="Times New Roman"/>
                <w:color w:val="000000"/>
                <w:szCs w:val="18"/>
                <w:highlight w:val="none"/>
                <w:u w:val="single"/>
                <w:lang w:val="en-US" w:eastAsia="zh-CN"/>
              </w:rPr>
              <w:t>2021年8月25日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r>
        <w:br w:type="page"/>
      </w:r>
      <w:bookmarkStart w:id="25" w:name="_GoBack"/>
      <w:bookmarkEnd w:id="25"/>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8507523"/>
    <w:rsid w:val="2CC12113"/>
    <w:rsid w:val="62C878D4"/>
    <w:rsid w:val="76641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2021-11-02T02:26:00Z</cp:lastPrinted>
  <dcterms:modified xsi:type="dcterms:W3CDTF">2021-11-05T07:34:52Z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