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</w:t>
      </w:r>
      <w:bookmarkStart w:id="32" w:name="_GoBack"/>
      <w:bookmarkEnd w:id="32"/>
      <w:r>
        <w:rPr>
          <w:rFonts w:hint="eastAsia" w:asciiTheme="minorEastAsia" w:hAnsiTheme="minorEastAsia" w:eastAsiaTheme="minorEastAsia"/>
          <w:b/>
          <w:sz w:val="28"/>
          <w:szCs w:val="28"/>
        </w:rPr>
        <w:t>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02"/>
        <w:gridCol w:w="498"/>
        <w:gridCol w:w="262"/>
        <w:gridCol w:w="686"/>
        <w:gridCol w:w="1038"/>
        <w:gridCol w:w="378"/>
        <w:gridCol w:w="86"/>
        <w:gridCol w:w="842"/>
        <w:gridCol w:w="162"/>
        <w:gridCol w:w="934"/>
        <w:gridCol w:w="527"/>
        <w:gridCol w:w="148"/>
        <w:gridCol w:w="87"/>
        <w:gridCol w:w="510"/>
        <w:gridCol w:w="40"/>
        <w:gridCol w:w="680"/>
        <w:gridCol w:w="41"/>
        <w:gridCol w:w="116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2" w:type="dxa"/>
            <w:vAlign w:val="center"/>
          </w:tcPr>
          <w:p>
            <w:pPr>
              <w:tabs>
                <w:tab w:val="left" w:pos="3417"/>
              </w:tabs>
              <w:bidi w:val="0"/>
              <w:jc w:val="left"/>
              <w:rPr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29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重庆永顺办公设备有限公司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29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重庆市沙坪坝区渝碚路222号附4-8-1号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29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重庆市沙坪坝区渝碚路222号3-9-4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6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罗琼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15523836607</w:t>
            </w:r>
            <w:bookmarkEnd w:id="4"/>
          </w:p>
        </w:tc>
        <w:tc>
          <w:tcPr>
            <w:tcW w:w="63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9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64" w:type="dxa"/>
            <w:gridSpan w:val="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杨松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9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63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64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1128-2021-E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29" w:type="dxa"/>
            <w:gridSpan w:val="1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2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2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2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29" w:type="dxa"/>
            <w:gridSpan w:val="19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00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实木家具、钢木家具、金属家具、教学家具、软体家具、智能密集架、货架的销售所涉及场所的相关环境管理活动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29.10.05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29" w:type="dxa"/>
            <w:gridSpan w:val="19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9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2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2021年11月04日 上午至2021年11月05日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9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2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2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29.10.05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9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9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pStyle w:val="3"/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321" w:type="dxa"/>
            <w:gridSpan w:val="2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9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2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6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92" w:type="dxa"/>
            <w:vAlign w:val="center"/>
          </w:tcPr>
          <w:p/>
        </w:tc>
        <w:tc>
          <w:tcPr>
            <w:tcW w:w="70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6"/>
            <w:vAlign w:val="center"/>
          </w:tcPr>
          <w:p/>
        </w:tc>
        <w:tc>
          <w:tcPr>
            <w:tcW w:w="14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50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6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50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2021年11月1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2021年11月1</w:t>
            </w:r>
          </w:p>
        </w:tc>
        <w:tc>
          <w:tcPr>
            <w:tcW w:w="12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2021年11月1</w:t>
            </w:r>
          </w:p>
        </w:tc>
      </w:tr>
    </w:tbl>
    <w:p>
      <w:pPr>
        <w:snapToGrid w:val="0"/>
        <w:spacing w:before="163" w:beforeLines="50" w:line="400" w:lineRule="exact"/>
        <w:ind w:firstLine="3980" w:firstLineChars="1652"/>
        <w:jc w:val="both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现场审核日程安排表</w:t>
      </w:r>
    </w:p>
    <w:tbl>
      <w:tblPr>
        <w:tblStyle w:val="6"/>
        <w:tblpPr w:leftFromText="180" w:rightFromText="180" w:vertAnchor="text" w:horzAnchor="page" w:tblpX="901" w:tblpY="97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18"/>
                <w:szCs w:val="18"/>
              </w:rPr>
              <w:t>应对风险和机遇的措施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行政部（含财务）: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5.3组织的角色、职责和权限；6.1.2环境因素；6.1.3合规义务；6.2目标及其达成的策划；7.2能力；7.3意识；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7.5文件化信息；8.1运行策划和控制；8.2应急准备和响应；9.1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采购部:</w:t>
            </w:r>
          </w:p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销售部:</w:t>
            </w:r>
          </w:p>
          <w:p>
            <w:pPr>
              <w:rPr>
                <w:rFonts w:hint="eastAsia" w:ascii="宋体" w:hAnsi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5699A"/>
    <w:rsid w:val="11612F84"/>
    <w:rsid w:val="1ABD0829"/>
    <w:rsid w:val="39730804"/>
    <w:rsid w:val="70711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cp:lastPrinted>2021-11-02T02:46:18Z</cp:lastPrinted>
  <dcterms:modified xsi:type="dcterms:W3CDTF">2021-11-02T02:46:30Z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