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 w:cs="宋体"/>
          <w:color w:val="000000"/>
          <w:kern w:val="0"/>
          <w:szCs w:val="21"/>
        </w:rPr>
        <w:t>重庆永顺办公设备有限公司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1"/>
          <w:szCs w:val="21"/>
        </w:rPr>
        <w:t>1128-2021-E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szCs w:val="21"/>
              </w:rPr>
              <w:t>人数：</w:t>
            </w:r>
            <w:r>
              <w:rPr>
                <w:rFonts w:hint="eastAsia"/>
                <w:szCs w:val="21"/>
                <w:lang w:val="en-US" w:eastAsia="zh-CN"/>
              </w:rPr>
              <w:t>60人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rFonts w:hint="eastAsia"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szCs w:val="21"/>
              </w:rPr>
              <w:t>人数：</w:t>
            </w:r>
            <w:r>
              <w:rPr>
                <w:rFonts w:hint="eastAsia"/>
                <w:szCs w:val="21"/>
                <w:lang w:val="en-US" w:eastAsia="zh-CN"/>
              </w:rPr>
              <w:t>22人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人数变化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初审：3基础人日*80%（风险低，减少20%=2.4人日；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监审：2.4*1/3=0.8人日；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再认证：2.4*2/3=1.6人日；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inline distT="0" distB="0" distL="114300" distR="114300">
                  <wp:extent cx="591185" cy="297815"/>
                  <wp:effectExtent l="0" t="0" r="5715" b="6985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2021年11月2日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2021.11.2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2021.11.2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238"/>
    <w:rsid w:val="0A9F4F74"/>
    <w:rsid w:val="2257187E"/>
    <w:rsid w:val="274D6137"/>
    <w:rsid w:val="43CE46BB"/>
    <w:rsid w:val="4DF80D5F"/>
    <w:rsid w:val="766972A1"/>
    <w:rsid w:val="7D3B54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2</TotalTime>
  <ScaleCrop>false</ScaleCrop>
  <LinksUpToDate>false</LinksUpToDate>
  <CharactersWithSpaces>473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2021-11-02T02:10:02Z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25B3DA556770406D82E4EC7041A83887</vt:lpwstr>
  </property>
  <property fmtid="{D5CDD505-2E9C-101B-9397-08002B2CF9AE}" pid="4" name="KSOProductBuildVer">
    <vt:lpwstr>2052-11.1.0.11045</vt:lpwstr>
  </property>
</Properties>
</file>