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1128-2021-E</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重庆永顺办公设备有限公司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2021年11月02日 上午至2021年11月02日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eastAsia="宋体" w:cs="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eastAsia="宋体" w:cs="宋体"/>
                <w:b/>
                <w:szCs w:val="21"/>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2020-N1EMS-1267598</w:t>
            </w:r>
          </w:p>
        </w:tc>
        <w:tc>
          <w:tcPr>
            <w:tcW w:w="1140" w:type="dxa"/>
            <w:vAlign w:val="center"/>
          </w:tcPr>
          <w:p>
            <w:pPr>
              <w:spacing w:line="240" w:lineRule="exact"/>
              <w:jc w:val="center"/>
              <w:rPr>
                <w:b/>
                <w:color w:val="000000"/>
                <w:szCs w:val="21"/>
              </w:rPr>
            </w:pPr>
            <w:r>
              <w:rPr>
                <w:b/>
                <w:color w:val="000000"/>
                <w:szCs w:val="21"/>
              </w:rPr>
              <w:t>29.10.05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重庆永顺办公设备有限公司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重庆市沙坪坝区渝碚路222号附4-8-1号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重庆市沙坪坝区渝碚路222号3-9-4</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罗琼</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15523836607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徐惠</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罗琼</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t>实木家具、钢木家具、金属家具、教学家具、软体家具、智能密集架、货架的销售</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default"/>
                <w:color w:val="auto"/>
                <w:highlight w:val="none"/>
                <w:lang w:val="en-US" w:eastAsia="zh-CN"/>
              </w:rPr>
            </w:pPr>
            <w:r>
              <w:rPr>
                <w:rFonts w:hint="eastAsia"/>
                <w:color w:val="auto"/>
                <w:highlight w:val="none"/>
                <w:lang w:val="en-US" w:eastAsia="zh-CN"/>
              </w:rPr>
              <w:t>销售服务流程:</w:t>
            </w:r>
          </w:p>
          <w:p>
            <w:pPr>
              <w:tabs>
                <w:tab w:val="left" w:pos="360"/>
              </w:tabs>
              <w:ind w:left="360" w:hanging="360"/>
              <w:rPr>
                <w:rFonts w:ascii="宋体"/>
                <w:color w:val="000000"/>
                <w:szCs w:val="21"/>
              </w:rPr>
            </w:pPr>
            <w:r>
              <w:rPr>
                <w:rFonts w:hint="eastAsia"/>
                <w:color w:val="auto"/>
                <w:highlight w:val="none"/>
                <w:lang w:val="en-US" w:eastAsia="zh-CN"/>
              </w:rPr>
              <w:t>业务洽谈----</w:t>
            </w:r>
            <w:r>
              <w:rPr>
                <w:rFonts w:hint="eastAsia"/>
                <w:color w:val="auto"/>
                <w:highlight w:val="none"/>
              </w:rPr>
              <w:t>签订合同-----采购产品----产品交付----售后服务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实木家具、钢木家具、金属家具、教学家具、软体家具、智能密集架、货架的销售所涉及场所的相关环境管理活动</w:t>
            </w:r>
          </w:p>
        </w:tc>
        <w:tc>
          <w:tcPr>
            <w:tcW w:w="2006" w:type="dxa"/>
            <w:gridSpan w:val="3"/>
            <w:vAlign w:val="center"/>
          </w:tcPr>
          <w:p>
            <w:pPr>
              <w:spacing w:line="400" w:lineRule="exact"/>
              <w:rPr>
                <w:rFonts w:ascii="宋体" w:hAnsi="宋体"/>
                <w:b/>
                <w:color w:val="000000"/>
                <w:szCs w:val="21"/>
              </w:rPr>
            </w:pPr>
            <w:r>
              <w:rPr>
                <w:b/>
                <w:color w:val="000000"/>
                <w:szCs w:val="21"/>
              </w:rPr>
              <w:t>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75"/>
        <w:gridCol w:w="538"/>
        <w:gridCol w:w="3048"/>
        <w:gridCol w:w="104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75"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3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3048"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04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重庆永顺办公设备有限公司</w:t>
            </w:r>
            <w:r>
              <w:rPr>
                <w:rFonts w:hint="eastAsia"/>
                <w:sz w:val="21"/>
                <w:szCs w:val="21"/>
                <w:lang w:val="en-US" w:eastAsia="zh-CN"/>
              </w:rPr>
              <w:t>/</w:t>
            </w:r>
            <w:r>
              <w:rPr>
                <w:sz w:val="21"/>
                <w:szCs w:val="21"/>
              </w:rPr>
              <w:t>重庆市沙坪坝区渝碚路222号附4-8-1号</w:t>
            </w:r>
          </w:p>
        </w:tc>
        <w:tc>
          <w:tcPr>
            <w:tcW w:w="1675" w:type="dxa"/>
          </w:tcPr>
          <w:p>
            <w:pPr>
              <w:spacing w:before="40" w:after="40"/>
              <w:rPr>
                <w:rFonts w:eastAsia="黑体"/>
                <w:szCs w:val="21"/>
                <w:lang w:val="de-DE" w:eastAsia="ja-JP"/>
              </w:rPr>
            </w:pPr>
            <w:r>
              <w:rPr>
                <w:sz w:val="21"/>
                <w:szCs w:val="21"/>
              </w:rPr>
              <w:t>重庆市沙坪坝区渝碚路222号3-9-4</w:t>
            </w:r>
          </w:p>
        </w:tc>
        <w:tc>
          <w:tcPr>
            <w:tcW w:w="538" w:type="dxa"/>
            <w:vAlign w:val="center"/>
          </w:tcPr>
          <w:p>
            <w:pPr>
              <w:spacing w:before="40" w:after="40"/>
              <w:rPr>
                <w:rFonts w:hint="default" w:eastAsia="黑体"/>
                <w:szCs w:val="21"/>
                <w:lang w:val="en-US" w:eastAsia="zh-CN"/>
              </w:rPr>
            </w:pPr>
            <w:r>
              <w:rPr>
                <w:rFonts w:hint="eastAsia" w:eastAsia="黑体"/>
                <w:szCs w:val="21"/>
                <w:lang w:val="en-US" w:eastAsia="zh-CN"/>
              </w:rPr>
              <w:t>22</w:t>
            </w:r>
          </w:p>
        </w:tc>
        <w:tc>
          <w:tcPr>
            <w:tcW w:w="3048" w:type="dxa"/>
            <w:vAlign w:val="center"/>
          </w:tcPr>
          <w:p>
            <w:pPr>
              <w:pStyle w:val="20"/>
              <w:rPr>
                <w:rFonts w:eastAsia="黑体" w:cs="Arial"/>
                <w:sz w:val="21"/>
                <w:szCs w:val="21"/>
                <w:lang w:val="en-US" w:eastAsia="ja-JP"/>
              </w:rPr>
            </w:pPr>
            <w:r>
              <w:t>实木家具、钢木家具、金属家具、教学家具、软体家具、智能密集架、货架的销售所涉及场所的相关环境管理活动</w:t>
            </w:r>
          </w:p>
        </w:tc>
        <w:tc>
          <w:tcPr>
            <w:tcW w:w="1049" w:type="dxa"/>
            <w:vAlign w:val="center"/>
          </w:tcPr>
          <w:p>
            <w:pPr>
              <w:spacing w:before="40" w:after="40"/>
              <w:rPr>
                <w:rFonts w:ascii="Times New Roman" w:hAnsi="Times New Roman" w:eastAsia="Times New Roman" w:cs="Times New Roman"/>
                <w:kern w:val="2"/>
                <w:sz w:val="20"/>
                <w:szCs w:val="20"/>
                <w:lang w:val="en-GB" w:eastAsia="ja-JP" w:bidi="ar-SA"/>
              </w:rPr>
            </w:pPr>
            <w:r>
              <w:rPr>
                <w:rFonts w:hint="eastAsia" w:ascii="Times New Roman" w:hAnsi="Times New Roman" w:eastAsia="Times New Roman" w:cs="Times New Roman"/>
                <w:kern w:val="2"/>
                <w:sz w:val="20"/>
                <w:szCs w:val="20"/>
                <w:lang w:val="en-GB" w:eastAsia="de-DE" w:bidi="ar-SA"/>
              </w:rPr>
              <w:t>GB/T24001-2016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lang w:eastAsia="zh-CN"/>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675" w:type="dxa"/>
            <w:vAlign w:val="center"/>
          </w:tcPr>
          <w:p>
            <w:pPr>
              <w:spacing w:before="40" w:after="40"/>
              <w:rPr>
                <w:rFonts w:eastAsia="黑体"/>
                <w:szCs w:val="21"/>
                <w:lang w:eastAsia="ja-JP"/>
              </w:rPr>
            </w:pPr>
          </w:p>
        </w:tc>
        <w:tc>
          <w:tcPr>
            <w:tcW w:w="538" w:type="dxa"/>
            <w:vAlign w:val="center"/>
          </w:tcPr>
          <w:p>
            <w:pPr>
              <w:spacing w:before="40" w:after="40"/>
              <w:rPr>
                <w:rFonts w:eastAsia="黑体"/>
                <w:szCs w:val="21"/>
                <w:lang w:eastAsia="ja-JP"/>
              </w:rPr>
            </w:pPr>
          </w:p>
        </w:tc>
        <w:tc>
          <w:tcPr>
            <w:tcW w:w="3048" w:type="dxa"/>
            <w:vAlign w:val="center"/>
          </w:tcPr>
          <w:p>
            <w:pPr>
              <w:spacing w:before="40" w:after="40"/>
              <w:rPr>
                <w:rFonts w:eastAsia="黑体"/>
                <w:szCs w:val="21"/>
                <w:lang w:eastAsia="ja-JP"/>
              </w:rPr>
            </w:pPr>
          </w:p>
        </w:tc>
        <w:tc>
          <w:tcPr>
            <w:tcW w:w="104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675" w:type="dxa"/>
            <w:vAlign w:val="center"/>
          </w:tcPr>
          <w:p>
            <w:pPr>
              <w:spacing w:before="40" w:after="40"/>
              <w:rPr>
                <w:rFonts w:eastAsia="黑体"/>
                <w:szCs w:val="21"/>
                <w:lang w:eastAsia="ja-JP"/>
              </w:rPr>
            </w:pPr>
          </w:p>
        </w:tc>
        <w:tc>
          <w:tcPr>
            <w:tcW w:w="538" w:type="dxa"/>
            <w:vAlign w:val="center"/>
          </w:tcPr>
          <w:p>
            <w:pPr>
              <w:spacing w:before="40" w:after="40"/>
              <w:rPr>
                <w:rFonts w:eastAsia="黑体"/>
                <w:szCs w:val="21"/>
                <w:lang w:eastAsia="ja-JP"/>
              </w:rPr>
            </w:pPr>
          </w:p>
        </w:tc>
        <w:tc>
          <w:tcPr>
            <w:tcW w:w="3048" w:type="dxa"/>
            <w:vAlign w:val="center"/>
          </w:tcPr>
          <w:p>
            <w:pPr>
              <w:spacing w:before="40" w:after="40"/>
              <w:rPr>
                <w:rFonts w:eastAsia="黑体"/>
                <w:szCs w:val="21"/>
                <w:lang w:eastAsia="ja-JP"/>
              </w:rPr>
            </w:pPr>
          </w:p>
        </w:tc>
        <w:tc>
          <w:tcPr>
            <w:tcW w:w="104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lang w:val="en-US" w:eastAsia="zh-CN"/>
                  </w:rPr>
                  <w:t xml:space="preserve"> </w:t>
                </w:r>
                <w:r>
                  <w:rPr>
                    <w:rFonts w:hint="eastAsia" w:ascii="宋体" w:hAnsi="宋体"/>
                    <w:color w:val="000000"/>
                    <w:szCs w:val="21"/>
                  </w:rPr>
                  <w:t>■</w:t>
                </w:r>
              </w:sdtContent>
            </w:sdt>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ind w:firstLine="210" w:firstLineChars="100"/>
              <w:rPr>
                <w:rFonts w:ascii="宋体" w:hAnsi="宋体"/>
                <w:color w:val="000000"/>
                <w:szCs w:val="21"/>
              </w:rPr>
            </w:pP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rPr>
                  <w:t>■</w:t>
                </w:r>
              </w:sdtContent>
            </w:sdt>
            <w:r>
              <w:rPr>
                <w:rFonts w:hint="eastAsia" w:ascii="宋体" w:hAnsi="宋体"/>
                <w:color w:val="00000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43662765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43662766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43662766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43662766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43662766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436627663"/>
              </w:sdtPr>
              <w:sdtEndPr>
                <w:rPr>
                  <w:rFonts w:eastAsia="黑体"/>
                  <w:szCs w:val="21"/>
                </w:rPr>
              </w:sdtEndPr>
              <w:sdtContent>
                <w:r>
                  <w:rPr>
                    <w:rFonts w:hint="eastAsia" w:ascii="宋体" w:hAnsi="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eastAsia="宋体"/>
                <w:b/>
                <w:color w:val="000000"/>
                <w:szCs w:val="21"/>
                <w:u w:val="single"/>
                <w:lang w:eastAsia="zh-CN"/>
              </w:rPr>
              <w:t>2021年3月5</w:t>
            </w:r>
            <w:r>
              <w:rPr>
                <w:rFonts w:hint="eastAsia" w:ascii="宋体" w:hAnsi="宋体" w:eastAsia="宋体"/>
                <w:b/>
                <w:color w:val="000000"/>
                <w:szCs w:val="21"/>
                <w:u w:val="single"/>
              </w:rPr>
              <w:t>日</w:t>
            </w:r>
            <w:r>
              <w:rPr>
                <w:rFonts w:hint="eastAsia" w:ascii="宋体" w:hAnsi="宋体" w:eastAsia="宋体"/>
                <w:b/>
                <w:color w:val="000000"/>
                <w:szCs w:val="21"/>
              </w:rPr>
              <w:t>起按照标准的要求，建立了文件化的管理体系，对管理体系文件进行发布和对全员</w:t>
            </w:r>
            <w:r>
              <w:rPr>
                <w:rFonts w:hint="eastAsia" w:ascii="宋体" w:hAnsi="宋体"/>
                <w:b/>
                <w:color w:val="000000"/>
                <w:szCs w:val="21"/>
              </w:rPr>
              <w:t>进行了贯彻。管理体系已有效运行并且超过3个月。</w:t>
            </w:r>
          </w:p>
        </w:tc>
        <w:tc>
          <w:tcPr>
            <w:tcW w:w="970" w:type="dxa"/>
            <w:gridSpan w:val="2"/>
          </w:tcPr>
          <w:p>
            <w:pPr>
              <w:rPr>
                <w:rFonts w:ascii="宋体"/>
                <w:color w:val="000000"/>
                <w:szCs w:val="21"/>
              </w:rPr>
            </w:pPr>
            <w:sdt>
              <w:sdtPr>
                <w:rPr>
                  <w:rFonts w:eastAsia="黑体"/>
                  <w:szCs w:val="21"/>
                </w:rPr>
                <w:id w:val="43662767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11.已根据策划和标准要求于</w:t>
            </w:r>
            <w:r>
              <w:rPr>
                <w:rFonts w:hint="eastAsia" w:ascii="宋体" w:hAnsi="宋体"/>
                <w:b/>
                <w:color w:val="000000"/>
                <w:szCs w:val="21"/>
                <w:highlight w:val="none"/>
                <w:u w:val="single"/>
              </w:rPr>
              <w:t xml:space="preserve"> </w:t>
            </w:r>
            <w:r>
              <w:rPr>
                <w:rFonts w:hint="eastAsia" w:ascii="宋体" w:hAnsi="宋体"/>
                <w:b/>
                <w:color w:val="000000"/>
                <w:szCs w:val="21"/>
                <w:highlight w:val="none"/>
                <w:u w:val="single"/>
                <w:lang w:eastAsia="zh-CN"/>
              </w:rPr>
              <w:t>2021年7月 20日</w:t>
            </w:r>
            <w:r>
              <w:rPr>
                <w:rFonts w:hint="eastAsia" w:ascii="宋体" w:hAnsi="宋体"/>
                <w:b/>
                <w:color w:val="000000"/>
                <w:szCs w:val="21"/>
                <w:highlight w:val="none"/>
              </w:rPr>
              <w:t>由有能力的人实施了内部审核，覆盖所有场所、部门和过程，</w:t>
            </w:r>
            <w:r>
              <w:rPr>
                <w:rFonts w:hint="eastAsia" w:ascii="宋体" w:hAnsi="宋体"/>
                <w:b/>
                <w:color w:val="000000"/>
                <w:szCs w:val="21"/>
                <w:highlight w:val="none"/>
                <w:lang w:val="en-GB"/>
              </w:rPr>
              <w:t>组织通过内审验证了管理体系的</w:t>
            </w:r>
            <w:r>
              <w:rPr>
                <w:rFonts w:hint="eastAsia" w:ascii="宋体" w:hAnsi="宋体"/>
                <w:b/>
                <w:color w:val="000000"/>
                <w:szCs w:val="21"/>
                <w:highlight w:val="none"/>
              </w:rPr>
              <w:t>符合性</w:t>
            </w:r>
            <w:r>
              <w:rPr>
                <w:rFonts w:hint="eastAsia" w:ascii="宋体" w:hAnsi="宋体"/>
                <w:b/>
                <w:color w:val="000000"/>
                <w:szCs w:val="21"/>
                <w:highlight w:val="none"/>
                <w:lang w:val="en-GB"/>
              </w:rPr>
              <w:t>及有效性，</w:t>
            </w:r>
            <w:r>
              <w:rPr>
                <w:rFonts w:hint="eastAsia" w:ascii="宋体" w:hAnsi="宋体"/>
                <w:b/>
                <w:color w:val="000000"/>
                <w:szCs w:val="21"/>
                <w:highlight w:val="none"/>
              </w:rPr>
              <w:t>并对不符合项制订和采取了纠正措施。</w:t>
            </w:r>
          </w:p>
        </w:tc>
        <w:tc>
          <w:tcPr>
            <w:tcW w:w="970" w:type="dxa"/>
            <w:gridSpan w:val="2"/>
          </w:tcPr>
          <w:p>
            <w:pPr>
              <w:rPr>
                <w:rFonts w:ascii="宋体"/>
                <w:color w:val="000000"/>
                <w:szCs w:val="21"/>
              </w:rPr>
            </w:pPr>
            <w:sdt>
              <w:sdtPr>
                <w:rPr>
                  <w:rFonts w:eastAsia="黑体"/>
                  <w:szCs w:val="21"/>
                </w:rPr>
                <w:id w:val="43662767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highlight w:val="none"/>
                <w:lang w:val="en-GB" w:eastAsia="zh-CN"/>
              </w:rPr>
            </w:pPr>
            <w:r>
              <w:rPr>
                <w:rFonts w:hint="eastAsia" w:ascii="宋体" w:hAnsi="宋体" w:eastAsia="宋体"/>
                <w:color w:val="000000"/>
                <w:sz w:val="21"/>
                <w:szCs w:val="21"/>
                <w:highlight w:val="none"/>
                <w:lang w:val="en-US" w:eastAsia="zh-CN"/>
              </w:rPr>
              <w:t>12.已根据策划于</w:t>
            </w:r>
            <w:r>
              <w:rPr>
                <w:rFonts w:hint="eastAsia" w:ascii="宋体" w:hAnsi="宋体" w:eastAsia="宋体"/>
                <w:color w:val="000000"/>
                <w:sz w:val="21"/>
                <w:szCs w:val="21"/>
                <w:highlight w:val="none"/>
                <w:u w:val="single"/>
                <w:lang w:val="en-US" w:eastAsia="zh-CN"/>
              </w:rPr>
              <w:t xml:space="preserve">  2021年8月25日</w:t>
            </w:r>
            <w:r>
              <w:rPr>
                <w:rFonts w:hint="eastAsia" w:ascii="宋体" w:hAnsi="宋体" w:eastAsia="宋体"/>
                <w:color w:val="000000"/>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zCs w:val="21"/>
              </w:rPr>
            </w:pPr>
            <w:sdt>
              <w:sdtPr>
                <w:rPr>
                  <w:rFonts w:eastAsia="黑体"/>
                  <w:szCs w:val="21"/>
                </w:rPr>
                <w:id w:val="43662767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是否按法规办理了环境影响评价登记表/报告表/报告书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是否按法规办理了环境影响评价报告表/报告书的验收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是否按法规办理了《排污许可证》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是否提供近期环境监测报告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vAlign w:val="top"/>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vAlign w:val="top"/>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vAlign w:val="top"/>
          </w:tcPr>
          <w:p>
            <w:pPr>
              <w:spacing w:line="360" w:lineRule="auto"/>
              <w:rPr>
                <w:rFonts w:ascii="宋体"/>
                <w:b/>
                <w:color w:val="000000"/>
                <w:szCs w:val="21"/>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2021-11-0</w:t>
            </w:r>
            <w:bookmarkEnd w:id="36"/>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color w:val="000000"/>
          <w:szCs w:val="21"/>
          <w:lang w:val="en-US" w:eastAsia="zh-CN"/>
        </w:rPr>
        <w:drawing>
          <wp:anchor distT="0" distB="0" distL="114300" distR="114300" simplePos="0" relativeHeight="251660288" behindDoc="0" locked="0" layoutInCell="1" allowOverlap="1">
            <wp:simplePos x="0" y="0"/>
            <wp:positionH relativeFrom="column">
              <wp:posOffset>4204970</wp:posOffset>
            </wp:positionH>
            <wp:positionV relativeFrom="paragraph">
              <wp:posOffset>328295</wp:posOffset>
            </wp:positionV>
            <wp:extent cx="602615" cy="304165"/>
            <wp:effectExtent l="0" t="0" r="6985" b="635"/>
            <wp:wrapNone/>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6"/>
                    <a:stretch>
                      <a:fillRect/>
                    </a:stretch>
                  </pic:blipFill>
                  <pic:spPr>
                    <a:xfrm>
                      <a:off x="0" y="0"/>
                      <a:ext cx="602615" cy="30416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lang w:val="en-US" w:eastAsia="zh-CN"/>
        </w:rPr>
        <w:drawing>
          <wp:anchor distT="0" distB="0" distL="114300" distR="114300" simplePos="0" relativeHeight="251659264" behindDoc="0" locked="0" layoutInCell="1" allowOverlap="1">
            <wp:simplePos x="0" y="0"/>
            <wp:positionH relativeFrom="column">
              <wp:posOffset>1805940</wp:posOffset>
            </wp:positionH>
            <wp:positionV relativeFrom="paragraph">
              <wp:posOffset>4445</wp:posOffset>
            </wp:positionV>
            <wp:extent cx="602615" cy="304165"/>
            <wp:effectExtent l="0" t="0" r="6985" b="635"/>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602615" cy="304165"/>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rPr>
        <w:t>2021年11月02日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重庆永顺办公设备有限公司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b/>
                <w:color w:val="000000"/>
                <w:szCs w:val="21"/>
                <w:lang w:val="en-US" w:eastAsia="zh-CN"/>
              </w:rPr>
              <w:drawing>
                <wp:anchor distT="0" distB="0" distL="114300" distR="114300" simplePos="0" relativeHeight="251661312" behindDoc="0" locked="0" layoutInCell="1" allowOverlap="1">
                  <wp:simplePos x="0" y="0"/>
                  <wp:positionH relativeFrom="column">
                    <wp:posOffset>878205</wp:posOffset>
                  </wp:positionH>
                  <wp:positionV relativeFrom="paragraph">
                    <wp:posOffset>33020</wp:posOffset>
                  </wp:positionV>
                  <wp:extent cx="542290" cy="273685"/>
                  <wp:effectExtent l="0" t="0" r="3810" b="5715"/>
                  <wp:wrapNone/>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6"/>
                          <a:stretch>
                            <a:fillRect/>
                          </a:stretch>
                        </pic:blipFill>
                        <pic:spPr>
                          <a:xfrm>
                            <a:off x="0" y="0"/>
                            <a:ext cx="542290" cy="27368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2021年11月02日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2021年11月02日</w:t>
            </w: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b/>
                <w:color w:val="000000"/>
                <w:szCs w:val="21"/>
                <w:lang w:val="en-US" w:eastAsia="zh-CN"/>
              </w:rPr>
              <w:drawing>
                <wp:anchor distT="0" distB="0" distL="114300" distR="114300" simplePos="0" relativeHeight="251662336" behindDoc="0" locked="0" layoutInCell="1" allowOverlap="1">
                  <wp:simplePos x="0" y="0"/>
                  <wp:positionH relativeFrom="column">
                    <wp:posOffset>579120</wp:posOffset>
                  </wp:positionH>
                  <wp:positionV relativeFrom="paragraph">
                    <wp:posOffset>81915</wp:posOffset>
                  </wp:positionV>
                  <wp:extent cx="535940" cy="270510"/>
                  <wp:effectExtent l="0" t="0" r="10160" b="8890"/>
                  <wp:wrapNone/>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6"/>
                          <a:stretch>
                            <a:fillRect/>
                          </a:stretch>
                        </pic:blipFill>
                        <pic:spPr>
                          <a:xfrm>
                            <a:off x="0" y="0"/>
                            <a:ext cx="535940" cy="27051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sz w:val="21"/>
                <w:szCs w:val="21"/>
              </w:rPr>
              <w:t>2021年11月02日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402.4pt;margin-top:11.35pt;height:20.2pt;width:81.3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64F47A1"/>
    <w:rsid w:val="2FCE1E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2021-11-04T02:36:06Z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