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成都红泰塑胶管业有限公司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62" w:firstLineChars="200"/>
              <w:textAlignment w:val="auto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查《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</w:rPr>
              <w:t>中华人民共和国消防法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》《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</w:rPr>
              <w:t>中华人民共和国固体废物污染防治法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》《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</w:rPr>
              <w:t>中华人民共和国水污染防治法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》等部分法律法规未做到及时更新，不符合</w:t>
            </w:r>
            <w:r>
              <w:rPr>
                <w:rFonts w:hint="eastAsia" w:ascii="宋体" w:hAnsi="宋体"/>
                <w:b/>
                <w:bCs/>
                <w:szCs w:val="21"/>
              </w:rPr>
              <w:t>GB/T 24001-2016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GB/T45001-2020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标准7.5条款:“组织应识别其所确定的、策划和运行管理体系所必须的、来自外部的文件化信息，适当时应对其予以控制。</w:t>
            </w:r>
            <w:bookmarkStart w:id="16" w:name="_GoBack"/>
            <w:bookmarkEnd w:id="16"/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 w:bidi="ar"/>
              </w:rPr>
              <w:t>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242570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2406650</wp:posOffset>
                  </wp:positionH>
                  <wp:positionV relativeFrom="paragraph">
                    <wp:posOffset>249555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王莎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)阶段审核□再认证■监督（二）次□证书转换□特殊审核□其他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成都红泰塑胶管业有限公司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1" w:firstLineChars="100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"/>
              </w:rPr>
              <w:t>组织将粉尘、噪声识别为重要环境因素，将意外伤害、职业病识别为不可接受风险，但不能提供其管理方案。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"/>
              </w:rPr>
              <w:t>不符合GB/T 24001-2016标准和GB/T45001-2020标准6.2.2 条款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"/>
              </w:rPr>
              <w:t>：“组织应保持和保留管理目标和实现目标的策划的文件化信息。”的要求。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242570</wp:posOffset>
                  </wp:positionV>
                  <wp:extent cx="812800" cy="400050"/>
                  <wp:effectExtent l="0" t="0" r="10160" b="11430"/>
                  <wp:wrapNone/>
                  <wp:docPr id="4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2406650</wp:posOffset>
                  </wp:positionH>
                  <wp:positionV relativeFrom="paragraph">
                    <wp:posOffset>249555</wp:posOffset>
                  </wp:positionV>
                  <wp:extent cx="812800" cy="400050"/>
                  <wp:effectExtent l="0" t="0" r="10160" b="11430"/>
                  <wp:wrapNone/>
                  <wp:docPr id="5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王莎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6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B4DA9"/>
    <w:rsid w:val="1C317578"/>
    <w:rsid w:val="31523228"/>
    <w:rsid w:val="326A1225"/>
    <w:rsid w:val="506C5994"/>
    <w:rsid w:val="6F2D7737"/>
    <w:rsid w:val="7C491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2021-11-03T06:23:24Z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