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重庆乐乐环保科技有限公司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7C67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2021-10-31T11:54:15Z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2052-11.1.0.11045</vt:lpwstr>
  </property>
</Properties>
</file>