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重庆乐乐环保科技有限公司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0" w:line="276" w:lineRule="auto"/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专业小类/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0" w:line="276" w:lineRule="auto"/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0" w:line="276" w:lineRule="auto"/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</w:pPr>
            <w:bookmarkStart w:id="8" w:name="专业代码"/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Q：39.02.01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0" w:line="276" w:lineRule="auto"/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E：39.02.01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0" w:line="276" w:lineRule="auto"/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O：39.02.01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0" w:line="276" w:lineRule="auto"/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Q：39.02.01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0" w:line="276" w:lineRule="auto"/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E：39.02.01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0" w:line="276" w:lineRule="auto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 w:eastAsia="zh-CN"/>
              </w:rPr>
              <w:t>O：39.02.01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合同或协议签订—垃圾分类智能回收设备的铺设--向居民宣传推广使用如何垃圾分类—居民分类投放垃圾—清运--垃圾分类复核分拣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无特殊过程。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服务过程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风险：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垃圾回收重量不符、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未按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材质种类进行分类挑拣。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按分检要求进行分类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挑拣，通过佩戴防护装备对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作业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人员的进行防护控制。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cs="Times New Roman"/>
                <w:b/>
                <w:sz w:val="20"/>
                <w:lang w:val="en-US" w:eastAsia="zh-CN"/>
              </w:rPr>
              <w:t>重庆环境因素：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固废、潜在火灾，采取分类收集、管理方案和预案措施管理。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不可接受风险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eastAsia="zh-CN"/>
              </w:rPr>
              <w:t>火灾</w:t>
            </w:r>
            <w:r>
              <w:rPr>
                <w:rFonts w:hint="eastAsia" w:eastAsia="宋体" w:cs="Times New Roman"/>
                <w:b/>
                <w:sz w:val="20"/>
                <w:highlight w:val="none"/>
                <w:lang w:eastAsia="zh-CN"/>
              </w:rPr>
              <w:t>、</w:t>
            </w:r>
            <w:bookmarkStart w:id="9" w:name="_GoBack"/>
            <w:bookmarkEnd w:id="9"/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eastAsia="zh-CN"/>
              </w:rPr>
              <w:t>交通事故</w:t>
            </w:r>
            <w:r>
              <w:rPr>
                <w:rFonts w:hint="eastAsia" w:eastAsia="宋体" w:cs="Times New Roman"/>
                <w:b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eastAsia="zh-CN"/>
              </w:rPr>
              <w:t>中暑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eastAsia="zh-CN"/>
              </w:rPr>
              <w:t>采取管理方案</w:t>
            </w:r>
            <w:r>
              <w:rPr>
                <w:rFonts w:hint="eastAsia" w:eastAsia="宋体" w:cs="Times New Roman"/>
                <w:b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eastAsia="宋体" w:cs="Times New Roman"/>
                <w:b/>
                <w:sz w:val="20"/>
                <w:highlight w:val="none"/>
                <w:lang w:val="en-US" w:eastAsia="zh-CN"/>
              </w:rPr>
              <w:t>应急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eastAsia="zh-CN"/>
              </w:rPr>
              <w:t>预案</w:t>
            </w:r>
            <w:r>
              <w:rPr>
                <w:rFonts w:hint="eastAsia" w:eastAsia="宋体" w:cs="Times New Roman"/>
                <w:b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eastAsia="宋体" w:cs="Times New Roman"/>
                <w:b/>
                <w:sz w:val="20"/>
                <w:highlight w:val="none"/>
                <w:lang w:val="en-US" w:eastAsia="zh-CN"/>
              </w:rPr>
              <w:t>应急演练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eastAsia="zh-CN"/>
              </w:rPr>
              <w:t>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中华人民共和国劳动合同法、中华人民共和国消费者权益保护法、欺诈消费者行为处罚办法、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城市生活垃圾经营性清扫、收集、运输服务规范T/CASME 002-2018、城市生活垃圾分类及其评价标准CJJ/T 102-2004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  <w:lang w:eastAsia="zh-CN"/>
              </w:rPr>
              <w:t>：垃圾分类的重量、垃圾分拣分类。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172720</wp:posOffset>
                  </wp:positionV>
                  <wp:extent cx="411480" cy="381000"/>
                  <wp:effectExtent l="0" t="0" r="7620" b="0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2021年11月01日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78740</wp:posOffset>
                  </wp:positionV>
                  <wp:extent cx="411480" cy="381000"/>
                  <wp:effectExtent l="0" t="0" r="7620" b="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2021年11月01日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C72DC1"/>
    <w:rsid w:val="355A1859"/>
    <w:rsid w:val="51260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2021-10-31T14:05:18Z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