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07"/>
        <w:gridCol w:w="87"/>
        <w:gridCol w:w="680"/>
        <w:gridCol w:w="159"/>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3"/>
            <w:vAlign w:val="center"/>
          </w:tcPr>
          <w:p>
            <w:pPr>
              <w:rPr>
                <w:sz w:val="21"/>
                <w:szCs w:val="21"/>
              </w:rPr>
            </w:pPr>
            <w:bookmarkStart w:id="0" w:name="组织名称"/>
            <w:r>
              <w:rPr>
                <w:sz w:val="21"/>
                <w:szCs w:val="21"/>
              </w:rPr>
              <w:t>重庆乐乐环保科技有限公司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3"/>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重庆市大渡口区杨渡路513号3-2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3"/>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重庆市大渡口区杨渡路513号3-2</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刘敏</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13368128461</w:t>
            </w:r>
            <w:bookmarkEnd w:id="4"/>
          </w:p>
        </w:tc>
        <w:tc>
          <w:tcPr>
            <w:tcW w:w="974" w:type="dxa"/>
            <w:gridSpan w:val="3"/>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r>
              <w:rPr>
                <w:rFonts w:hint="eastAsia"/>
                <w:sz w:val="21"/>
                <w:szCs w:val="21"/>
              </w:rPr>
              <w:t xml:space="preserve">谢勇 </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3"/>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0451-2019-Q-2021</w:t>
            </w:r>
            <w:bookmarkEnd w:id="8"/>
          </w:p>
        </w:tc>
        <w:tc>
          <w:tcPr>
            <w:tcW w:w="1090" w:type="dxa"/>
            <w:gridSpan w:val="2"/>
            <w:vAlign w:val="center"/>
          </w:tcPr>
          <w:p>
            <w:pPr>
              <w:rPr>
                <w:sz w:val="20"/>
              </w:rPr>
            </w:pPr>
            <w:r>
              <w:rPr>
                <w:rFonts w:hint="eastAsia"/>
                <w:b/>
                <w:sz w:val="20"/>
              </w:rPr>
              <w:t>审核领域</w:t>
            </w:r>
          </w:p>
        </w:tc>
        <w:tc>
          <w:tcPr>
            <w:tcW w:w="4375" w:type="dxa"/>
            <w:gridSpan w:val="8"/>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3"/>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3"/>
            <w:vAlign w:val="bottom"/>
          </w:tcPr>
          <w:p>
            <w:pPr>
              <w:rPr>
                <w:rFonts w:ascii="宋体" w:hAnsi="宋体"/>
                <w:b/>
                <w:bCs/>
                <w:sz w:val="20"/>
              </w:rPr>
            </w:pPr>
            <w:r>
              <w:rPr>
                <w:rFonts w:hint="eastAsia" w:ascii="宋体" w:hAnsi="宋体" w:eastAsia="宋体" w:cs="宋体"/>
                <w:b/>
                <w:bCs/>
                <w:sz w:val="20"/>
              </w:rPr>
              <w:t>■</w:t>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3"/>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3"/>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3"/>
          </w:tcPr>
          <w:p>
            <w:pPr>
              <w:rPr>
                <w:rFonts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eastAsia="宋体" w:cs="宋体"/>
                <w:b/>
                <w:bCs/>
                <w:sz w:val="20"/>
                <w:szCs w:val="22"/>
              </w:rPr>
              <w:t>■</w:t>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142" w:type="dxa"/>
            <w:vAlign w:val="center"/>
          </w:tcPr>
          <w:p>
            <w:pPr>
              <w:rPr>
                <w:sz w:val="20"/>
              </w:rPr>
            </w:pPr>
            <w:r>
              <w:rPr>
                <w:rFonts w:hint="eastAsia"/>
                <w:sz w:val="20"/>
              </w:rPr>
              <w:t>审核范围</w:t>
            </w:r>
          </w:p>
        </w:tc>
        <w:tc>
          <w:tcPr>
            <w:tcW w:w="7050" w:type="dxa"/>
            <w:gridSpan w:val="10"/>
            <w:vAlign w:val="center"/>
          </w:tcPr>
          <w:p>
            <w:pPr>
              <w:rPr>
                <w:sz w:val="20"/>
              </w:rPr>
            </w:pPr>
            <w:bookmarkStart w:id="21" w:name="审核范围"/>
            <w:r>
              <w:rPr>
                <w:sz w:val="20"/>
              </w:rPr>
              <w:t>Q：许可范围内的生活垃圾分类收集</w:t>
            </w:r>
          </w:p>
          <w:p>
            <w:pPr>
              <w:rPr>
                <w:sz w:val="20"/>
              </w:rPr>
            </w:pPr>
            <w:r>
              <w:rPr>
                <w:sz w:val="20"/>
              </w:rPr>
              <w:t>E：许可范围内的生活垃圾分类收集及其所涉及的相关环境管理活动</w:t>
            </w:r>
          </w:p>
          <w:p>
            <w:pPr>
              <w:rPr>
                <w:sz w:val="20"/>
              </w:rPr>
            </w:pPr>
            <w:r>
              <w:rPr>
                <w:sz w:val="20"/>
              </w:rPr>
              <w:t>O：许可范围内的生活垃圾分类收集及其所涉及的相关职业健康安全管理活动。</w:t>
            </w:r>
            <w:bookmarkEnd w:id="21"/>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2" w:name="专业代码"/>
            <w:r>
              <w:rPr>
                <w:sz w:val="20"/>
              </w:rPr>
              <w:t>Q：39.02.01</w:t>
            </w:r>
          </w:p>
          <w:p>
            <w:pPr>
              <w:jc w:val="left"/>
              <w:rPr>
                <w:sz w:val="20"/>
              </w:rPr>
            </w:pPr>
            <w:r>
              <w:rPr>
                <w:sz w:val="20"/>
              </w:rPr>
              <w:t>E：39.02.01</w:t>
            </w:r>
          </w:p>
          <w:p>
            <w:pPr>
              <w:jc w:val="left"/>
              <w:rPr>
                <w:sz w:val="20"/>
              </w:rPr>
            </w:pPr>
            <w:r>
              <w:rPr>
                <w:sz w:val="20"/>
              </w:rPr>
              <w:t>O：39.02.01</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3"/>
            <w:vAlign w:val="center"/>
          </w:tcPr>
          <w:p>
            <w:pPr>
              <w:jc w:val="left"/>
              <w:rPr>
                <w:rFonts w:ascii="宋体" w:hAnsi="宋体"/>
                <w:b/>
                <w:sz w:val="21"/>
                <w:szCs w:val="21"/>
              </w:rPr>
            </w:pPr>
            <w:bookmarkStart w:id="23" w:name="Q勾选Add1"/>
            <w:r>
              <w:rPr>
                <w:rFonts w:hint="eastAsia" w:ascii="宋体" w:hAnsi="宋体"/>
                <w:b/>
                <w:sz w:val="21"/>
                <w:szCs w:val="21"/>
              </w:rPr>
              <w:t>■</w:t>
            </w:r>
            <w:bookmarkEnd w:id="23"/>
            <w:r>
              <w:rPr>
                <w:rFonts w:hint="eastAsia" w:ascii="宋体" w:hAnsi="宋体"/>
                <w:b/>
                <w:sz w:val="21"/>
                <w:szCs w:val="21"/>
              </w:rPr>
              <w:t xml:space="preserve">GB/T19001-2016/ISO 9001:2015   </w:t>
            </w:r>
            <w:bookmarkStart w:id="24" w:name="QJ勾选"/>
            <w:r>
              <w:rPr>
                <w:rFonts w:hint="eastAsia" w:ascii="宋体" w:hAnsi="宋体"/>
                <w:b/>
                <w:sz w:val="21"/>
                <w:szCs w:val="21"/>
              </w:rPr>
              <w:t>□</w:t>
            </w:r>
            <w:bookmarkEnd w:id="24"/>
            <w:r>
              <w:rPr>
                <w:rFonts w:hint="eastAsia" w:ascii="宋体" w:hAnsi="宋体"/>
                <w:b/>
                <w:sz w:val="21"/>
                <w:szCs w:val="21"/>
              </w:rPr>
              <w:t>GB/T 50430-2017</w:t>
            </w:r>
            <w:bookmarkStart w:id="25" w:name="E勾选Add1"/>
            <w:r>
              <w:rPr>
                <w:rFonts w:hint="eastAsia" w:ascii="宋体" w:hAnsi="宋体"/>
                <w:b/>
                <w:sz w:val="21"/>
                <w:szCs w:val="21"/>
              </w:rPr>
              <w:t>■</w:t>
            </w:r>
            <w:bookmarkEnd w:id="25"/>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6" w:name="S勾选"/>
            <w:r>
              <w:rPr>
                <w:rFonts w:hint="eastAsia" w:ascii="宋体" w:hAnsi="宋体"/>
                <w:b/>
                <w:sz w:val="21"/>
                <w:szCs w:val="21"/>
              </w:rPr>
              <w:t>■</w:t>
            </w:r>
            <w:bookmarkEnd w:id="26"/>
            <w:r>
              <w:rPr>
                <w:rFonts w:hint="eastAsia" w:ascii="宋体" w:hAnsi="宋体"/>
                <w:b/>
                <w:sz w:val="21"/>
                <w:szCs w:val="21"/>
              </w:rPr>
              <w:t xml:space="preserve">GB/T45001-2020/ISO45001：2020标准 </w:t>
            </w:r>
            <w:bookmarkStart w:id="27" w:name="F勾选Add1"/>
            <w:r>
              <w:rPr>
                <w:rFonts w:hint="eastAsia" w:ascii="宋体" w:hAnsi="宋体"/>
                <w:b/>
                <w:sz w:val="21"/>
                <w:szCs w:val="21"/>
              </w:rPr>
              <w:t>□</w:t>
            </w:r>
            <w:bookmarkEnd w:id="27"/>
            <w:r>
              <w:rPr>
                <w:rFonts w:hint="eastAsia" w:ascii="宋体" w:hAnsi="宋体"/>
                <w:b/>
                <w:sz w:val="21"/>
                <w:szCs w:val="21"/>
              </w:rPr>
              <w:t xml:space="preserve">ISO 22000:2018 </w:t>
            </w:r>
          </w:p>
          <w:p>
            <w:pPr>
              <w:jc w:val="left"/>
              <w:rPr>
                <w:rFonts w:ascii="宋体" w:hAnsi="宋体"/>
                <w:b/>
                <w:sz w:val="21"/>
                <w:szCs w:val="21"/>
              </w:rPr>
            </w:pPr>
            <w:bookmarkStart w:id="28" w:name="H勾选Add1"/>
            <w:r>
              <w:rPr>
                <w:rFonts w:hint="eastAsia" w:ascii="宋体" w:hAnsi="宋体"/>
                <w:b/>
                <w:sz w:val="21"/>
                <w:szCs w:val="21"/>
              </w:rPr>
              <w:t>□</w:t>
            </w:r>
            <w:bookmarkEnd w:id="28"/>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9" w:name="EnMS勾选Add1"/>
            <w:r>
              <w:rPr>
                <w:rFonts w:hint="eastAsia" w:ascii="宋体" w:hAnsi="宋体"/>
                <w:b/>
                <w:sz w:val="21"/>
                <w:szCs w:val="21"/>
              </w:rPr>
              <w:t>□</w:t>
            </w:r>
            <w:bookmarkEnd w:id="29"/>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 □认证合同</w:t>
            </w:r>
          </w:p>
          <w:p>
            <w:pPr>
              <w:jc w:val="left"/>
              <w:rPr>
                <w:b/>
                <w:sz w:val="20"/>
                <w:lang w:val="de-DE"/>
              </w:rPr>
            </w:pPr>
            <w:r>
              <w:rPr>
                <w:rFonts w:hint="eastAsia" w:ascii="宋体" w:hAnsi="宋体" w:eastAsia="宋体" w:cs="宋体"/>
                <w:b/>
                <w:sz w:val="21"/>
                <w:szCs w:val="21"/>
              </w:rPr>
              <w:t>■</w:t>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0" w:name="审核日期"/>
            <w:r>
              <w:rPr>
                <w:rFonts w:hint="eastAsia"/>
                <w:b/>
                <w:sz w:val="20"/>
              </w:rPr>
              <w:t>2021年11月01日 上午至2021年11月01日 下午</w:t>
            </w:r>
            <w:bookmarkEnd w:id="30"/>
            <w:r>
              <w:rPr>
                <w:rFonts w:hint="eastAsia"/>
                <w:b/>
                <w:sz w:val="20"/>
              </w:rPr>
              <w:t>(共</w:t>
            </w:r>
            <w:bookmarkStart w:id="31" w:name="审核天数"/>
            <w:r>
              <w:rPr>
                <w:rFonts w:hint="eastAsia"/>
                <w:b/>
                <w:sz w:val="20"/>
              </w:rPr>
              <w:t>1.0</w:t>
            </w:r>
            <w:bookmarkEnd w:id="3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3"/>
            <w:vAlign w:val="center"/>
          </w:tcPr>
          <w:p>
            <w:pPr>
              <w:tabs>
                <w:tab w:val="center" w:pos="4153"/>
                <w:tab w:val="right" w:pos="8306"/>
              </w:tabs>
              <w:snapToGrid w:val="0"/>
              <w:spacing w:line="360" w:lineRule="auto"/>
              <w:rPr>
                <w:b/>
                <w:sz w:val="20"/>
              </w:rPr>
            </w:pPr>
            <w:r>
              <w:rPr>
                <w:rFonts w:hint="eastAsia" w:ascii="宋体" w:hAnsi="宋体" w:eastAsia="宋体" w:cs="宋体"/>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389" w:type="dxa"/>
            <w:gridSpan w:val="5"/>
            <w:vAlign w:val="center"/>
          </w:tcPr>
          <w:p>
            <w:pPr>
              <w:jc w:val="center"/>
              <w:rPr>
                <w:sz w:val="20"/>
                <w:lang w:val="de-DE"/>
              </w:rPr>
            </w:pPr>
            <w:r>
              <w:rPr>
                <w:rFonts w:hint="eastAsia"/>
                <w:sz w:val="21"/>
                <w:szCs w:val="21"/>
              </w:rPr>
              <w:t>联系电话</w:t>
            </w:r>
          </w:p>
        </w:tc>
        <w:tc>
          <w:tcPr>
            <w:tcW w:w="129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文平</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0"/>
                <w:lang w:val="de-DE"/>
              </w:rPr>
            </w:pPr>
            <w:r>
              <w:rPr>
                <w:sz w:val="20"/>
                <w:lang w:val="de-DE"/>
              </w:rPr>
              <w:t>2019-N1OHSMS-2093566</w:t>
            </w:r>
          </w:p>
        </w:tc>
        <w:tc>
          <w:tcPr>
            <w:tcW w:w="1696" w:type="dxa"/>
            <w:gridSpan w:val="2"/>
            <w:vAlign w:val="center"/>
          </w:tcPr>
          <w:p>
            <w:pPr>
              <w:jc w:val="center"/>
              <w:rPr>
                <w:sz w:val="20"/>
                <w:lang w:val="de-DE"/>
              </w:rPr>
            </w:pPr>
            <w:r>
              <w:rPr>
                <w:sz w:val="20"/>
                <w:lang w:val="de-DE"/>
              </w:rPr>
              <w:t>Q:39.02.01</w:t>
            </w:r>
          </w:p>
          <w:p>
            <w:pPr>
              <w:jc w:val="center"/>
              <w:rPr>
                <w:sz w:val="20"/>
                <w:lang w:val="de-DE"/>
              </w:rPr>
            </w:pPr>
            <w:r>
              <w:rPr>
                <w:sz w:val="20"/>
                <w:lang w:val="de-DE"/>
              </w:rPr>
              <w:t>E:39.02.01</w:t>
            </w:r>
          </w:p>
          <w:p>
            <w:pPr>
              <w:jc w:val="center"/>
              <w:rPr>
                <w:sz w:val="20"/>
                <w:lang w:val="de-DE"/>
              </w:rPr>
            </w:pPr>
            <w:r>
              <w:rPr>
                <w:sz w:val="20"/>
                <w:lang w:val="de-DE"/>
              </w:rPr>
              <w:t>O:39.02.01</w:t>
            </w:r>
          </w:p>
        </w:tc>
        <w:tc>
          <w:tcPr>
            <w:tcW w:w="1389" w:type="dxa"/>
            <w:gridSpan w:val="5"/>
            <w:vAlign w:val="center"/>
          </w:tcPr>
          <w:p>
            <w:pPr>
              <w:jc w:val="center"/>
              <w:rPr>
                <w:sz w:val="20"/>
                <w:lang w:val="de-DE"/>
              </w:rPr>
            </w:pPr>
            <w:r>
              <w:rPr>
                <w:sz w:val="20"/>
                <w:lang w:val="de-DE"/>
              </w:rPr>
              <w:t>13983696917</w:t>
            </w:r>
          </w:p>
        </w:tc>
        <w:tc>
          <w:tcPr>
            <w:tcW w:w="129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张心</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2021-N1QMS-3207381</w:t>
            </w:r>
          </w:p>
        </w:tc>
        <w:tc>
          <w:tcPr>
            <w:tcW w:w="1696" w:type="dxa"/>
            <w:gridSpan w:val="2"/>
            <w:vAlign w:val="center"/>
          </w:tcPr>
          <w:p>
            <w:pPr>
              <w:jc w:val="center"/>
              <w:rPr>
                <w:sz w:val="20"/>
                <w:lang w:val="de-DE"/>
              </w:rPr>
            </w:pPr>
          </w:p>
        </w:tc>
        <w:tc>
          <w:tcPr>
            <w:tcW w:w="1389" w:type="dxa"/>
            <w:gridSpan w:val="5"/>
            <w:vAlign w:val="center"/>
          </w:tcPr>
          <w:p>
            <w:pPr>
              <w:jc w:val="center"/>
              <w:rPr>
                <w:sz w:val="20"/>
                <w:lang w:val="de-DE"/>
              </w:rPr>
            </w:pPr>
            <w:r>
              <w:rPr>
                <w:sz w:val="20"/>
                <w:lang w:val="de-DE"/>
              </w:rPr>
              <w:t>15023289133</w:t>
            </w:r>
          </w:p>
        </w:tc>
        <w:tc>
          <w:tcPr>
            <w:tcW w:w="129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冉景洲</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sz w:val="20"/>
                <w:lang w:val="de-DE"/>
              </w:rPr>
            </w:pPr>
            <w:r>
              <w:rPr>
                <w:sz w:val="20"/>
                <w:lang w:val="de-DE"/>
              </w:rPr>
              <w:t>2021-N1OHSMS-1267598</w:t>
            </w:r>
          </w:p>
        </w:tc>
        <w:tc>
          <w:tcPr>
            <w:tcW w:w="1696" w:type="dxa"/>
            <w:gridSpan w:val="2"/>
            <w:vAlign w:val="center"/>
          </w:tcPr>
          <w:p>
            <w:pPr>
              <w:jc w:val="center"/>
              <w:rPr>
                <w:sz w:val="20"/>
                <w:lang w:val="de-DE"/>
              </w:rPr>
            </w:pPr>
          </w:p>
        </w:tc>
        <w:tc>
          <w:tcPr>
            <w:tcW w:w="1389" w:type="dxa"/>
            <w:gridSpan w:val="5"/>
            <w:vAlign w:val="center"/>
          </w:tcPr>
          <w:p>
            <w:pPr>
              <w:jc w:val="center"/>
              <w:rPr>
                <w:sz w:val="20"/>
                <w:lang w:val="de-DE"/>
              </w:rPr>
            </w:pPr>
            <w:r>
              <w:rPr>
                <w:sz w:val="20"/>
                <w:lang w:val="de-DE"/>
              </w:rPr>
              <w:t>18983000183</w:t>
            </w:r>
          </w:p>
        </w:tc>
        <w:tc>
          <w:tcPr>
            <w:tcW w:w="129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389" w:type="dxa"/>
            <w:gridSpan w:val="5"/>
            <w:vAlign w:val="center"/>
          </w:tcPr>
          <w:p>
            <w:pPr>
              <w:rPr>
                <w:sz w:val="21"/>
                <w:szCs w:val="21"/>
              </w:rPr>
            </w:pPr>
          </w:p>
        </w:tc>
        <w:tc>
          <w:tcPr>
            <w:tcW w:w="129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389" w:type="dxa"/>
            <w:gridSpan w:val="5"/>
            <w:vAlign w:val="center"/>
          </w:tcPr>
          <w:p>
            <w:r>
              <w:rPr>
                <w:rFonts w:hint="eastAsia"/>
                <w:sz w:val="21"/>
                <w:szCs w:val="21"/>
              </w:rPr>
              <w:t>组内代码</w:t>
            </w:r>
          </w:p>
        </w:tc>
        <w:tc>
          <w:tcPr>
            <w:tcW w:w="129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389" w:type="dxa"/>
            <w:gridSpan w:val="5"/>
            <w:vAlign w:val="center"/>
          </w:tcPr>
          <w:p/>
        </w:tc>
        <w:tc>
          <w:tcPr>
            <w:tcW w:w="129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389" w:type="dxa"/>
            <w:gridSpan w:val="5"/>
            <w:vAlign w:val="center"/>
          </w:tcPr>
          <w:p/>
        </w:tc>
        <w:tc>
          <w:tcPr>
            <w:tcW w:w="129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4"/>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rPr>
                <w:sz w:val="20"/>
                <w:lang w:val="de-DE"/>
              </w:rPr>
              <w:t>文平</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rFonts w:hint="default" w:eastAsia="宋体"/>
                <w:sz w:val="21"/>
                <w:szCs w:val="21"/>
                <w:lang w:val="en-US" w:eastAsia="zh-CN"/>
              </w:rPr>
            </w:pPr>
            <w:r>
              <w:rPr>
                <w:rFonts w:hint="eastAsia"/>
                <w:sz w:val="21"/>
                <w:szCs w:val="21"/>
                <w:lang w:val="en-US" w:eastAsia="zh-CN"/>
              </w:rPr>
              <w:t>李永忠</w:t>
            </w:r>
          </w:p>
        </w:tc>
        <w:tc>
          <w:tcPr>
            <w:tcW w:w="1225" w:type="dxa"/>
            <w:gridSpan w:val="3"/>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2216" w:type="dxa"/>
            <w:gridSpan w:val="4"/>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r>
              <w:rPr>
                <w:sz w:val="20"/>
                <w:lang w:val="de-DE"/>
              </w:rPr>
              <w:t>13983696917</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1225" w:type="dxa"/>
            <w:gridSpan w:val="3"/>
            <w:vMerge w:val="continue"/>
            <w:vAlign w:val="center"/>
          </w:tcPr>
          <w:p>
            <w:pPr>
              <w:rPr>
                <w:sz w:val="21"/>
                <w:szCs w:val="21"/>
              </w:rPr>
            </w:pPr>
          </w:p>
        </w:tc>
        <w:tc>
          <w:tcPr>
            <w:tcW w:w="2216" w:type="dxa"/>
            <w:gridSpan w:val="4"/>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sz w:val="21"/>
                <w:szCs w:val="21"/>
              </w:rPr>
            </w:pPr>
            <w:r>
              <w:rPr>
                <w:rFonts w:hint="eastAsia"/>
                <w:b/>
                <w:sz w:val="20"/>
              </w:rPr>
              <w:t>2021年1</w:t>
            </w:r>
            <w:r>
              <w:rPr>
                <w:rFonts w:hint="eastAsia"/>
                <w:b/>
                <w:sz w:val="20"/>
                <w:lang w:val="en-US" w:eastAsia="zh-CN"/>
              </w:rPr>
              <w:t>0</w:t>
            </w:r>
            <w:r>
              <w:rPr>
                <w:rFonts w:hint="eastAsia"/>
                <w:b/>
                <w:sz w:val="20"/>
              </w:rPr>
              <w:t>月</w:t>
            </w:r>
            <w:r>
              <w:rPr>
                <w:rFonts w:hint="eastAsia"/>
                <w:b/>
                <w:sz w:val="20"/>
                <w:lang w:val="en-US" w:eastAsia="zh-CN"/>
              </w:rPr>
              <w:t>28</w:t>
            </w:r>
            <w:r>
              <w:rPr>
                <w:rFonts w:hint="eastAsia"/>
                <w:b/>
                <w:sz w:val="20"/>
              </w:rPr>
              <w:t>日</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b/>
                <w:sz w:val="20"/>
              </w:rPr>
              <w:t>2021年1</w:t>
            </w:r>
            <w:r>
              <w:rPr>
                <w:rFonts w:hint="eastAsia"/>
                <w:b/>
                <w:sz w:val="20"/>
                <w:lang w:val="en-US" w:eastAsia="zh-CN"/>
              </w:rPr>
              <w:t>0</w:t>
            </w:r>
            <w:r>
              <w:rPr>
                <w:rFonts w:hint="eastAsia"/>
                <w:b/>
                <w:sz w:val="20"/>
              </w:rPr>
              <w:t>月</w:t>
            </w:r>
            <w:r>
              <w:rPr>
                <w:rFonts w:hint="eastAsia"/>
                <w:b/>
                <w:sz w:val="20"/>
                <w:lang w:val="en-US" w:eastAsia="zh-CN"/>
              </w:rPr>
              <w:t>28</w:t>
            </w:r>
            <w:r>
              <w:rPr>
                <w:rFonts w:hint="eastAsia"/>
                <w:b/>
                <w:sz w:val="20"/>
              </w:rPr>
              <w:t>日</w:t>
            </w:r>
          </w:p>
        </w:tc>
        <w:tc>
          <w:tcPr>
            <w:tcW w:w="1225" w:type="dxa"/>
            <w:gridSpan w:val="3"/>
            <w:vAlign w:val="center"/>
          </w:tcPr>
          <w:p>
            <w:pPr>
              <w:rPr>
                <w:sz w:val="21"/>
                <w:szCs w:val="21"/>
              </w:rPr>
            </w:pPr>
            <w:r>
              <w:rPr>
                <w:rFonts w:hint="eastAsia"/>
                <w:sz w:val="20"/>
              </w:rPr>
              <w:t>日期</w:t>
            </w:r>
          </w:p>
        </w:tc>
        <w:tc>
          <w:tcPr>
            <w:tcW w:w="2216" w:type="dxa"/>
            <w:gridSpan w:val="4"/>
            <w:vAlign w:val="center"/>
          </w:tcPr>
          <w:p>
            <w:pPr>
              <w:rPr>
                <w:sz w:val="21"/>
                <w:szCs w:val="21"/>
              </w:rPr>
            </w:pPr>
            <w:r>
              <w:rPr>
                <w:rFonts w:hint="eastAsia"/>
                <w:b/>
                <w:sz w:val="20"/>
              </w:rPr>
              <w:t>2021年1</w:t>
            </w:r>
            <w:r>
              <w:rPr>
                <w:rFonts w:hint="eastAsia"/>
                <w:b/>
                <w:sz w:val="20"/>
                <w:lang w:val="en-US" w:eastAsia="zh-CN"/>
              </w:rPr>
              <w:t>0</w:t>
            </w:r>
            <w:r>
              <w:rPr>
                <w:rFonts w:hint="eastAsia"/>
                <w:b/>
                <w:sz w:val="20"/>
              </w:rPr>
              <w:t>月</w:t>
            </w:r>
            <w:r>
              <w:rPr>
                <w:rFonts w:hint="eastAsia"/>
                <w:b/>
                <w:sz w:val="20"/>
                <w:lang w:val="en-US" w:eastAsia="zh-CN"/>
              </w:rPr>
              <w:t>28</w:t>
            </w:r>
            <w:r>
              <w:rPr>
                <w:rFonts w:hint="eastAsia"/>
                <w:b/>
                <w:sz w:val="20"/>
              </w:rPr>
              <w:t>日</w:t>
            </w:r>
          </w:p>
        </w:tc>
      </w:tr>
    </w:tbl>
    <w:p/>
    <w:p>
      <w:pPr>
        <w:snapToGrid w:val="0"/>
        <w:spacing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401"/>
        <w:gridCol w:w="915"/>
        <w:gridCol w:w="598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日期</w:t>
            </w:r>
          </w:p>
        </w:tc>
        <w:tc>
          <w:tcPr>
            <w:tcW w:w="1401"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时间</w:t>
            </w:r>
          </w:p>
        </w:tc>
        <w:tc>
          <w:tcPr>
            <w:tcW w:w="915"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部门</w:t>
            </w:r>
          </w:p>
        </w:tc>
        <w:tc>
          <w:tcPr>
            <w:tcW w:w="5985"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涉及条款</w:t>
            </w:r>
          </w:p>
        </w:tc>
        <w:tc>
          <w:tcPr>
            <w:tcW w:w="1065" w:type="dxa"/>
            <w:tcBorders>
              <w:righ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b/>
                <w:bCs/>
                <w:color w:val="auto"/>
                <w:sz w:val="21"/>
                <w:szCs w:val="21"/>
              </w:rPr>
            </w:pPr>
          </w:p>
          <w:p>
            <w:pPr>
              <w:snapToGrid w:val="0"/>
              <w:spacing w:line="280" w:lineRule="exact"/>
              <w:jc w:val="center"/>
              <w:rPr>
                <w:rFonts w:hint="eastAsia" w:ascii="宋体" w:hAnsi="宋体"/>
                <w:b/>
                <w:bCs/>
                <w:color w:val="auto"/>
                <w:sz w:val="21"/>
                <w:szCs w:val="21"/>
              </w:rPr>
            </w:pPr>
          </w:p>
          <w:p>
            <w:pPr>
              <w:snapToGrid w:val="0"/>
              <w:spacing w:line="280" w:lineRule="exact"/>
              <w:jc w:val="center"/>
              <w:rPr>
                <w:rFonts w:hint="eastAsia" w:ascii="宋体" w:hAnsi="宋体"/>
                <w:b/>
                <w:bCs/>
                <w:color w:val="auto"/>
                <w:sz w:val="21"/>
                <w:szCs w:val="21"/>
              </w:rPr>
            </w:pPr>
          </w:p>
          <w:p>
            <w:pPr>
              <w:snapToGrid w:val="0"/>
              <w:spacing w:line="280" w:lineRule="exact"/>
              <w:jc w:val="center"/>
              <w:rPr>
                <w:rFonts w:hint="eastAsia" w:ascii="宋体" w:hAnsi="宋体"/>
                <w:b/>
                <w:bCs/>
                <w:color w:val="auto"/>
                <w:sz w:val="21"/>
                <w:szCs w:val="21"/>
              </w:rPr>
            </w:pPr>
          </w:p>
          <w:p>
            <w:pPr>
              <w:snapToGrid w:val="0"/>
              <w:spacing w:line="280" w:lineRule="exact"/>
              <w:jc w:val="center"/>
              <w:rPr>
                <w:rFonts w:hint="eastAsia" w:ascii="宋体" w:hAnsi="宋体"/>
                <w:b/>
                <w:bCs/>
                <w:color w:val="auto"/>
                <w:sz w:val="21"/>
                <w:szCs w:val="21"/>
              </w:rPr>
            </w:pPr>
          </w:p>
          <w:p>
            <w:pPr>
              <w:snapToGrid w:val="0"/>
              <w:spacing w:line="280" w:lineRule="exact"/>
              <w:jc w:val="center"/>
              <w:rPr>
                <w:rFonts w:hint="eastAsia" w:ascii="宋体" w:hAnsi="宋体"/>
                <w:b/>
                <w:bCs/>
                <w:color w:val="auto"/>
                <w:sz w:val="21"/>
                <w:szCs w:val="21"/>
              </w:rPr>
            </w:pPr>
          </w:p>
          <w:p>
            <w:pPr>
              <w:snapToGrid w:val="0"/>
              <w:spacing w:line="280" w:lineRule="exact"/>
              <w:jc w:val="center"/>
              <w:rPr>
                <w:rFonts w:hint="eastAsia" w:ascii="宋体" w:hAnsi="宋体"/>
                <w:b/>
                <w:bCs/>
                <w:color w:val="auto"/>
                <w:sz w:val="21"/>
                <w:szCs w:val="21"/>
              </w:rPr>
            </w:pPr>
          </w:p>
          <w:p>
            <w:pPr>
              <w:snapToGrid w:val="0"/>
              <w:spacing w:line="280" w:lineRule="exact"/>
              <w:jc w:val="center"/>
              <w:rPr>
                <w:rFonts w:hint="eastAsia" w:ascii="宋体" w:hAnsi="宋体"/>
                <w:b/>
                <w:bCs/>
                <w:color w:val="auto"/>
                <w:sz w:val="21"/>
                <w:szCs w:val="21"/>
              </w:rPr>
            </w:pPr>
          </w:p>
          <w:p>
            <w:pPr>
              <w:snapToGrid w:val="0"/>
              <w:spacing w:line="280" w:lineRule="exact"/>
              <w:jc w:val="center"/>
              <w:rPr>
                <w:rFonts w:hint="eastAsia" w:ascii="宋体" w:hAnsi="宋体"/>
                <w:b/>
                <w:bCs/>
                <w:color w:val="auto"/>
                <w:sz w:val="21"/>
                <w:szCs w:val="21"/>
              </w:rPr>
            </w:pPr>
          </w:p>
          <w:p>
            <w:pPr>
              <w:snapToGrid w:val="0"/>
              <w:spacing w:line="280" w:lineRule="exact"/>
              <w:jc w:val="center"/>
              <w:rPr>
                <w:rFonts w:hint="eastAsia" w:ascii="宋体" w:hAnsi="宋体"/>
                <w:b/>
                <w:bCs/>
                <w:color w:val="auto"/>
                <w:sz w:val="21"/>
                <w:szCs w:val="21"/>
              </w:rPr>
            </w:pPr>
          </w:p>
          <w:p>
            <w:pPr>
              <w:snapToGrid w:val="0"/>
              <w:spacing w:line="280" w:lineRule="exact"/>
              <w:jc w:val="center"/>
              <w:rPr>
                <w:rFonts w:hint="eastAsia" w:ascii="宋体" w:hAnsi="宋体"/>
                <w:b/>
                <w:bCs/>
                <w:color w:val="auto"/>
                <w:sz w:val="21"/>
                <w:szCs w:val="21"/>
              </w:rPr>
            </w:pPr>
          </w:p>
          <w:p>
            <w:pPr>
              <w:snapToGrid w:val="0"/>
              <w:spacing w:line="280" w:lineRule="exact"/>
              <w:jc w:val="center"/>
              <w:rPr>
                <w:rFonts w:hint="eastAsia" w:ascii="宋体" w:hAnsi="宋体"/>
                <w:b/>
                <w:bCs/>
                <w:color w:val="auto"/>
                <w:sz w:val="21"/>
                <w:szCs w:val="21"/>
              </w:rPr>
            </w:pPr>
          </w:p>
          <w:p>
            <w:pPr>
              <w:snapToGrid w:val="0"/>
              <w:spacing w:line="280" w:lineRule="exact"/>
              <w:jc w:val="center"/>
              <w:rPr>
                <w:rFonts w:hint="eastAsia" w:ascii="宋体" w:hAnsi="宋体"/>
                <w:b/>
                <w:bCs/>
                <w:color w:val="auto"/>
                <w:sz w:val="21"/>
                <w:szCs w:val="21"/>
              </w:rPr>
            </w:pPr>
          </w:p>
          <w:p>
            <w:pPr>
              <w:snapToGrid w:val="0"/>
              <w:spacing w:line="280" w:lineRule="exact"/>
              <w:jc w:val="center"/>
              <w:rPr>
                <w:rFonts w:hint="eastAsia" w:ascii="宋体" w:hAnsi="宋体" w:eastAsia="宋体"/>
                <w:b/>
                <w:bCs/>
                <w:color w:val="auto"/>
                <w:sz w:val="21"/>
                <w:szCs w:val="21"/>
                <w:lang w:val="en-US" w:eastAsia="zh-CN"/>
              </w:rPr>
            </w:pPr>
            <w:r>
              <w:rPr>
                <w:rFonts w:hint="eastAsia" w:ascii="宋体" w:hAnsi="宋体"/>
                <w:b/>
                <w:bCs/>
                <w:color w:val="auto"/>
                <w:sz w:val="21"/>
                <w:szCs w:val="21"/>
              </w:rPr>
              <w:t>1</w:t>
            </w:r>
            <w:r>
              <w:rPr>
                <w:rFonts w:hint="eastAsia" w:ascii="宋体" w:hAnsi="宋体"/>
                <w:b/>
                <w:bCs/>
                <w:color w:val="auto"/>
                <w:sz w:val="21"/>
                <w:szCs w:val="21"/>
                <w:lang w:val="en-US" w:eastAsia="zh-CN"/>
              </w:rPr>
              <w:t>1</w:t>
            </w:r>
          </w:p>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月</w:t>
            </w:r>
          </w:p>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1</w:t>
            </w:r>
          </w:p>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日</w:t>
            </w:r>
          </w:p>
          <w:p>
            <w:pPr>
              <w:snapToGrid w:val="0"/>
              <w:spacing w:line="320" w:lineRule="exact"/>
              <w:rPr>
                <w:rFonts w:ascii="宋体" w:hAnsi="宋体"/>
                <w:b/>
                <w:bCs/>
                <w:color w:val="auto"/>
                <w:sz w:val="21"/>
                <w:szCs w:val="21"/>
              </w:rPr>
            </w:pPr>
          </w:p>
          <w:p>
            <w:pPr>
              <w:snapToGrid w:val="0"/>
              <w:spacing w:line="280" w:lineRule="exact"/>
              <w:jc w:val="center"/>
              <w:rPr>
                <w:rFonts w:ascii="宋体" w:hAnsi="宋体"/>
                <w:b/>
                <w:bCs/>
                <w:color w:val="auto"/>
                <w:sz w:val="21"/>
                <w:szCs w:val="21"/>
              </w:rPr>
            </w:pPr>
          </w:p>
          <w:p>
            <w:pPr>
              <w:snapToGrid w:val="0"/>
              <w:spacing w:line="320" w:lineRule="exact"/>
              <w:jc w:val="center"/>
              <w:rPr>
                <w:rFonts w:ascii="宋体" w:hAnsi="宋体"/>
                <w:b/>
                <w:bCs/>
                <w:color w:val="auto"/>
                <w:sz w:val="21"/>
                <w:szCs w:val="21"/>
              </w:rPr>
            </w:pPr>
          </w:p>
        </w:tc>
        <w:tc>
          <w:tcPr>
            <w:tcW w:w="1401" w:type="dxa"/>
            <w:vAlign w:val="center"/>
          </w:tcPr>
          <w:p>
            <w:pPr>
              <w:snapToGrid w:val="0"/>
              <w:spacing w:line="280" w:lineRule="exact"/>
              <w:jc w:val="both"/>
              <w:rPr>
                <w:rFonts w:ascii="宋体" w:hAnsi="宋体"/>
                <w:b/>
                <w:bCs/>
                <w:color w:val="auto"/>
                <w:sz w:val="21"/>
                <w:szCs w:val="21"/>
              </w:rPr>
            </w:pPr>
            <w:r>
              <w:rPr>
                <w:rFonts w:hint="eastAsia" w:ascii="宋体" w:hAnsi="宋体"/>
                <w:b/>
                <w:bCs/>
                <w:color w:val="auto"/>
                <w:sz w:val="21"/>
                <w:szCs w:val="21"/>
              </w:rPr>
              <w:t>8:</w:t>
            </w:r>
            <w:r>
              <w:rPr>
                <w:rFonts w:hint="eastAsia" w:ascii="宋体" w:hAnsi="宋体"/>
                <w:b/>
                <w:bCs/>
                <w:color w:val="auto"/>
                <w:sz w:val="21"/>
                <w:szCs w:val="21"/>
                <w:lang w:val="en-US" w:eastAsia="zh-CN"/>
              </w:rPr>
              <w:t>3</w:t>
            </w:r>
            <w:r>
              <w:rPr>
                <w:rFonts w:hint="eastAsia" w:ascii="宋体" w:hAnsi="宋体"/>
                <w:b/>
                <w:bCs/>
                <w:color w:val="auto"/>
                <w:sz w:val="21"/>
                <w:szCs w:val="21"/>
              </w:rPr>
              <w:t>0-</w:t>
            </w:r>
            <w:r>
              <w:rPr>
                <w:rFonts w:hint="eastAsia" w:ascii="宋体" w:hAnsi="宋体"/>
                <w:b/>
                <w:bCs/>
                <w:color w:val="auto"/>
                <w:sz w:val="21"/>
                <w:szCs w:val="21"/>
                <w:lang w:val="en-US" w:eastAsia="zh-CN"/>
              </w:rPr>
              <w:t>9</w:t>
            </w:r>
            <w:r>
              <w:rPr>
                <w:rFonts w:hint="eastAsia" w:ascii="宋体" w:hAnsi="宋体"/>
                <w:b/>
                <w:bCs/>
                <w:color w:val="auto"/>
                <w:sz w:val="21"/>
                <w:szCs w:val="21"/>
              </w:rPr>
              <w:t>:</w:t>
            </w:r>
            <w:r>
              <w:rPr>
                <w:rFonts w:hint="eastAsia" w:ascii="宋体" w:hAnsi="宋体"/>
                <w:b/>
                <w:bCs/>
                <w:color w:val="auto"/>
                <w:sz w:val="21"/>
                <w:szCs w:val="21"/>
                <w:lang w:val="en-US" w:eastAsia="zh-CN"/>
              </w:rPr>
              <w:t>0</w:t>
            </w:r>
            <w:r>
              <w:rPr>
                <w:rFonts w:hint="eastAsia" w:ascii="宋体" w:hAnsi="宋体"/>
                <w:b/>
                <w:bCs/>
                <w:color w:val="auto"/>
                <w:sz w:val="21"/>
                <w:szCs w:val="21"/>
              </w:rPr>
              <w:t>0</w:t>
            </w:r>
          </w:p>
        </w:tc>
        <w:tc>
          <w:tcPr>
            <w:tcW w:w="6900" w:type="dxa"/>
            <w:gridSpan w:val="2"/>
            <w:vAlign w:val="center"/>
          </w:tcPr>
          <w:p>
            <w:pPr>
              <w:rPr>
                <w:rFonts w:ascii="宋体" w:hAnsi="宋体"/>
                <w:color w:val="auto"/>
                <w:sz w:val="18"/>
              </w:rPr>
            </w:pPr>
            <w:r>
              <w:rPr>
                <w:rFonts w:hint="eastAsia" w:ascii="宋体" w:hAnsi="宋体"/>
                <w:color w:val="auto"/>
                <w:sz w:val="18"/>
              </w:rPr>
              <w:t>首次会议</w:t>
            </w:r>
          </w:p>
        </w:tc>
        <w:tc>
          <w:tcPr>
            <w:tcW w:w="1065" w:type="dxa"/>
            <w:tcBorders>
              <w:right w:val="single" w:color="auto" w:sz="8" w:space="0"/>
            </w:tcBorders>
            <w:vAlign w:val="center"/>
          </w:tcPr>
          <w:p>
            <w:pPr>
              <w:snapToGrid w:val="0"/>
              <w:spacing w:line="280" w:lineRule="exact"/>
              <w:jc w:val="center"/>
              <w:rPr>
                <w:rFonts w:hint="default" w:ascii="宋体" w:hAnsi="宋体"/>
                <w:b/>
                <w:bCs/>
                <w:color w:val="auto"/>
                <w:sz w:val="21"/>
                <w:szCs w:val="21"/>
                <w:lang w:val="en-US"/>
              </w:rPr>
            </w:pPr>
            <w:r>
              <w:rPr>
                <w:rFonts w:hint="eastAsia" w:ascii="宋体" w:hAnsi="宋体"/>
                <w:b/>
                <w:bCs/>
                <w:color w:val="auto"/>
                <w:sz w:val="18"/>
                <w:szCs w:val="18"/>
                <w:lang w:val="en-US" w:eastAsia="zh-CN"/>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7"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401" w:type="dxa"/>
            <w:vMerge w:val="restart"/>
          </w:tcPr>
          <w:p>
            <w:pPr>
              <w:snapToGrid w:val="0"/>
              <w:spacing w:line="320" w:lineRule="exact"/>
              <w:rPr>
                <w:rFonts w:ascii="宋体" w:hAnsi="宋体"/>
                <w:b/>
                <w:bCs/>
                <w:color w:val="auto"/>
                <w:sz w:val="21"/>
                <w:szCs w:val="21"/>
              </w:rPr>
            </w:pPr>
            <w:r>
              <w:rPr>
                <w:rFonts w:hint="eastAsia" w:ascii="宋体" w:hAnsi="宋体"/>
                <w:b/>
                <w:bCs/>
                <w:color w:val="auto"/>
                <w:sz w:val="21"/>
                <w:szCs w:val="21"/>
                <w:lang w:val="en-US" w:eastAsia="zh-CN"/>
              </w:rPr>
              <w:t>9</w:t>
            </w:r>
            <w:r>
              <w:rPr>
                <w:rFonts w:hint="eastAsia" w:ascii="宋体" w:hAnsi="宋体"/>
                <w:b/>
                <w:bCs/>
                <w:color w:val="auto"/>
                <w:sz w:val="21"/>
                <w:szCs w:val="21"/>
              </w:rPr>
              <w:t>:</w:t>
            </w:r>
            <w:r>
              <w:rPr>
                <w:rFonts w:hint="eastAsia" w:ascii="宋体" w:hAnsi="宋体"/>
                <w:b/>
                <w:bCs/>
                <w:color w:val="auto"/>
                <w:sz w:val="21"/>
                <w:szCs w:val="21"/>
                <w:lang w:val="en-US" w:eastAsia="zh-CN"/>
              </w:rPr>
              <w:t>0</w:t>
            </w:r>
            <w:r>
              <w:rPr>
                <w:rFonts w:hint="eastAsia" w:ascii="宋体" w:hAnsi="宋体"/>
                <w:b/>
                <w:bCs/>
                <w:color w:val="auto"/>
                <w:sz w:val="21"/>
                <w:szCs w:val="21"/>
              </w:rPr>
              <w:t>0-1</w:t>
            </w:r>
            <w:r>
              <w:rPr>
                <w:rFonts w:hint="eastAsia" w:ascii="宋体" w:hAnsi="宋体"/>
                <w:b/>
                <w:bCs/>
                <w:color w:val="auto"/>
                <w:sz w:val="21"/>
                <w:szCs w:val="21"/>
                <w:lang w:val="en-US" w:eastAsia="zh-CN"/>
              </w:rPr>
              <w:t>2</w:t>
            </w:r>
            <w:r>
              <w:rPr>
                <w:rFonts w:hint="eastAsia" w:ascii="宋体" w:hAnsi="宋体"/>
                <w:b/>
                <w:bCs/>
                <w:color w:val="auto"/>
                <w:sz w:val="21"/>
                <w:szCs w:val="21"/>
              </w:rPr>
              <w:t>:</w:t>
            </w:r>
            <w:r>
              <w:rPr>
                <w:rFonts w:hint="eastAsia" w:ascii="宋体" w:hAnsi="宋体"/>
                <w:b/>
                <w:bCs/>
                <w:color w:val="auto"/>
                <w:sz w:val="21"/>
                <w:szCs w:val="21"/>
                <w:lang w:val="en-US" w:eastAsia="zh-CN"/>
              </w:rPr>
              <w:t>0</w:t>
            </w:r>
            <w:r>
              <w:rPr>
                <w:rFonts w:hint="eastAsia" w:ascii="宋体" w:hAnsi="宋体"/>
                <w:b/>
                <w:bCs/>
                <w:color w:val="auto"/>
                <w:sz w:val="21"/>
                <w:szCs w:val="21"/>
              </w:rPr>
              <w:t>0</w:t>
            </w:r>
          </w:p>
          <w:p>
            <w:pPr>
              <w:snapToGrid w:val="0"/>
              <w:spacing w:line="320" w:lineRule="exact"/>
              <w:rPr>
                <w:rFonts w:ascii="宋体" w:hAnsi="宋体"/>
                <w:b/>
                <w:bCs/>
                <w:color w:val="auto"/>
                <w:sz w:val="21"/>
                <w:szCs w:val="21"/>
              </w:rPr>
            </w:pPr>
            <w:r>
              <w:rPr>
                <w:rFonts w:hint="eastAsia" w:ascii="宋体" w:hAnsi="宋体"/>
                <w:b/>
                <w:bCs/>
                <w:color w:val="auto"/>
                <w:sz w:val="21"/>
                <w:szCs w:val="21"/>
              </w:rPr>
              <w:t>（午餐时间12:</w:t>
            </w:r>
            <w:r>
              <w:rPr>
                <w:rFonts w:hint="eastAsia" w:ascii="宋体" w:hAnsi="宋体"/>
                <w:b/>
                <w:bCs/>
                <w:color w:val="auto"/>
                <w:sz w:val="21"/>
                <w:szCs w:val="21"/>
                <w:lang w:val="en-US" w:eastAsia="zh-CN"/>
              </w:rPr>
              <w:t>0</w:t>
            </w:r>
            <w:r>
              <w:rPr>
                <w:rFonts w:hint="eastAsia" w:ascii="宋体" w:hAnsi="宋体"/>
                <w:b/>
                <w:bCs/>
                <w:color w:val="auto"/>
                <w:sz w:val="21"/>
                <w:szCs w:val="21"/>
              </w:rPr>
              <w:t>0-1</w:t>
            </w:r>
            <w:r>
              <w:rPr>
                <w:rFonts w:hint="eastAsia" w:ascii="宋体" w:hAnsi="宋体"/>
                <w:b/>
                <w:bCs/>
                <w:color w:val="auto"/>
                <w:sz w:val="21"/>
                <w:szCs w:val="21"/>
                <w:lang w:val="en-US" w:eastAsia="zh-CN"/>
              </w:rPr>
              <w:t>2</w:t>
            </w:r>
            <w:r>
              <w:rPr>
                <w:rFonts w:hint="eastAsia" w:ascii="宋体" w:hAnsi="宋体"/>
                <w:b/>
                <w:bCs/>
                <w:color w:val="auto"/>
                <w:sz w:val="21"/>
                <w:szCs w:val="21"/>
              </w:rPr>
              <w:t>:</w:t>
            </w:r>
            <w:r>
              <w:rPr>
                <w:rFonts w:hint="eastAsia" w:ascii="宋体" w:hAnsi="宋体"/>
                <w:b/>
                <w:bCs/>
                <w:color w:val="auto"/>
                <w:sz w:val="21"/>
                <w:szCs w:val="21"/>
                <w:lang w:val="en-US" w:eastAsia="zh-CN"/>
              </w:rPr>
              <w:t>3</w:t>
            </w:r>
            <w:r>
              <w:rPr>
                <w:rFonts w:hint="eastAsia" w:ascii="宋体" w:hAnsi="宋体"/>
                <w:b/>
                <w:bCs/>
                <w:color w:val="auto"/>
                <w:sz w:val="21"/>
                <w:szCs w:val="21"/>
              </w:rPr>
              <w:t>0）</w:t>
            </w:r>
          </w:p>
        </w:tc>
        <w:tc>
          <w:tcPr>
            <w:tcW w:w="915" w:type="dxa"/>
          </w:tcPr>
          <w:p>
            <w:pPr>
              <w:spacing w:line="300" w:lineRule="exact"/>
              <w:rPr>
                <w:rFonts w:ascii="宋体" w:hAnsi="宋体"/>
                <w:b/>
                <w:bCs/>
                <w:color w:val="auto"/>
                <w:sz w:val="21"/>
                <w:szCs w:val="21"/>
              </w:rPr>
            </w:pPr>
            <w:r>
              <w:rPr>
                <w:rFonts w:hint="eastAsia" w:ascii="宋体" w:hAnsi="宋体"/>
                <w:b/>
                <w:bCs/>
                <w:color w:val="auto"/>
                <w:sz w:val="21"/>
                <w:szCs w:val="21"/>
              </w:rPr>
              <w:t>管理层</w:t>
            </w:r>
          </w:p>
        </w:tc>
        <w:tc>
          <w:tcPr>
            <w:tcW w:w="5985" w:type="dxa"/>
          </w:tcPr>
          <w:p>
            <w:pPr>
              <w:snapToGrid w:val="0"/>
              <w:spacing w:line="240" w:lineRule="exact"/>
              <w:rPr>
                <w:rFonts w:hint="eastAsia" w:ascii="宋体" w:hAnsi="宋体" w:eastAsia="宋体" w:cs="新宋体"/>
                <w:color w:val="auto"/>
                <w:sz w:val="18"/>
                <w:szCs w:val="18"/>
                <w:lang w:eastAsia="zh-CN"/>
              </w:rPr>
            </w:pPr>
            <w:r>
              <w:rPr>
                <w:rFonts w:hint="eastAsia" w:ascii="宋体" w:hAnsi="宋体" w:cs="新宋体"/>
                <w:color w:val="auto"/>
                <w:sz w:val="18"/>
                <w:szCs w:val="18"/>
              </w:rPr>
              <w:t xml:space="preserve">QMS-2015 </w:t>
            </w:r>
          </w:p>
          <w:p>
            <w:pPr>
              <w:snapToGrid w:val="0"/>
              <w:spacing w:line="240" w:lineRule="exact"/>
              <w:rPr>
                <w:rFonts w:hint="eastAsia" w:ascii="宋体" w:hAnsi="宋体" w:cs="新宋体"/>
                <w:color w:val="auto"/>
                <w:sz w:val="18"/>
                <w:szCs w:val="18"/>
                <w:lang w:eastAsia="zh-CN"/>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总则；7.4沟通；9.1.1监测、分析和评价总则；</w:t>
            </w:r>
            <w:r>
              <w:rPr>
                <w:rFonts w:hint="eastAsia" w:ascii="宋体" w:hAnsi="宋体" w:eastAsia="宋体" w:cs="新宋体"/>
                <w:color w:val="auto"/>
                <w:sz w:val="18"/>
                <w:szCs w:val="18"/>
                <w:lang w:val="en-US" w:eastAsia="zh-CN"/>
              </w:rPr>
              <w:t>9.1.3分析与评价；</w:t>
            </w:r>
            <w:r>
              <w:rPr>
                <w:rFonts w:hint="eastAsia" w:ascii="宋体" w:hAnsi="宋体" w:cs="新宋体"/>
                <w:color w:val="auto"/>
                <w:sz w:val="18"/>
                <w:szCs w:val="18"/>
              </w:rPr>
              <w:t>9.3管理评审；10.1改进 总则；10.2不符合和纠正措施；10.3持续改进</w:t>
            </w:r>
            <w:r>
              <w:rPr>
                <w:rFonts w:hint="eastAsia" w:ascii="宋体" w:hAnsi="宋体" w:cs="新宋体"/>
                <w:color w:val="auto"/>
                <w:sz w:val="18"/>
                <w:szCs w:val="18"/>
                <w:lang w:eastAsia="zh-CN"/>
              </w:rPr>
              <w:t>；</w:t>
            </w:r>
          </w:p>
          <w:p>
            <w:pPr>
              <w:pStyle w:val="2"/>
              <w:rPr>
                <w:rFonts w:hint="eastAsia"/>
                <w:color w:val="auto"/>
                <w:lang w:eastAsia="zh-CN"/>
              </w:rPr>
            </w:pPr>
          </w:p>
          <w:p>
            <w:pPr>
              <w:snapToGrid w:val="0"/>
              <w:spacing w:line="240" w:lineRule="exact"/>
              <w:rPr>
                <w:rFonts w:hint="default" w:ascii="宋体" w:hAnsi="宋体" w:cs="新宋体"/>
                <w:color w:val="auto"/>
                <w:sz w:val="18"/>
                <w:szCs w:val="18"/>
                <w:lang w:val="en-US" w:eastAsia="zh-CN"/>
              </w:rPr>
            </w:pPr>
            <w:r>
              <w:rPr>
                <w:rFonts w:hint="eastAsia" w:ascii="宋体" w:hAnsi="宋体" w:cs="新宋体"/>
                <w:color w:val="auto"/>
                <w:sz w:val="18"/>
                <w:szCs w:val="18"/>
              </w:rPr>
              <w:t xml:space="preserve">EMS-2015 </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9.1.1监测、分析和评估总则；9.3管理评审；10.1改进 总则；10.3持续改进。</w:t>
            </w:r>
          </w:p>
          <w:p>
            <w:pPr>
              <w:spacing w:line="300" w:lineRule="exact"/>
              <w:rPr>
                <w:rFonts w:ascii="宋体" w:hAnsi="宋体" w:cs="新宋体"/>
                <w:color w:val="auto"/>
                <w:sz w:val="18"/>
                <w:szCs w:val="18"/>
              </w:rPr>
            </w:pP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ISO45001：2018</w:t>
            </w:r>
            <w:r>
              <w:rPr>
                <w:rFonts w:hint="eastAsia" w:ascii="宋体" w:hAnsi="宋体" w:cs="新宋体"/>
                <w:color w:val="auto"/>
                <w:sz w:val="18"/>
                <w:szCs w:val="18"/>
                <w:lang w:val="en-US" w:eastAsia="zh-CN"/>
              </w:rPr>
              <w:t xml:space="preserve">  </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5.4员工参与协商；6.1应对风险和机遇的措施；6.1.4措施的策划；6.2目标及其实现的策划；7.1资源；7.4信息和沟通；9.1监视、测量、分析和评价；9.3管理评审；10.1事件、不符合和纠正措施；10.2持续改进。</w:t>
            </w:r>
          </w:p>
          <w:p>
            <w:pPr>
              <w:pStyle w:val="2"/>
              <w:rPr>
                <w:rFonts w:hint="eastAsia"/>
                <w:color w:val="auto"/>
              </w:rPr>
            </w:pPr>
          </w:p>
          <w:p>
            <w:pPr>
              <w:pStyle w:val="9"/>
              <w:rPr>
                <w:rFonts w:hint="eastAsia" w:ascii="宋体" w:hAnsi="宋体" w:cs="新宋体"/>
                <w:color w:val="auto"/>
                <w:sz w:val="18"/>
                <w:szCs w:val="18"/>
              </w:rPr>
            </w:pPr>
            <w:r>
              <w:rPr>
                <w:rFonts w:hint="eastAsia" w:ascii="宋体" w:hAnsi="宋体" w:eastAsia="宋体" w:cs="新宋体"/>
                <w:bCs w:val="0"/>
                <w:color w:val="auto"/>
                <w:spacing w:val="0"/>
                <w:kern w:val="2"/>
                <w:sz w:val="18"/>
                <w:szCs w:val="18"/>
                <w:lang w:val="en-US" w:eastAsia="zh-CN" w:bidi="ar-SA"/>
              </w:rPr>
              <w:t>标准/规范/法规的执行</w:t>
            </w:r>
            <w:r>
              <w:rPr>
                <w:rFonts w:hint="eastAsia" w:ascii="宋体" w:hAnsi="宋体" w:eastAsia="宋体" w:cs="新宋体"/>
                <w:bCs w:val="0"/>
                <w:color w:val="auto"/>
                <w:spacing w:val="0"/>
                <w:kern w:val="2"/>
                <w:sz w:val="18"/>
                <w:szCs w:val="18"/>
                <w:highlight w:val="none"/>
                <w:lang w:val="en-US" w:eastAsia="zh-CN" w:bidi="ar-SA"/>
              </w:rPr>
              <w:t>情况、上次审核不符合项的验证(综合部ES9.1.1;Q9.1.2）、认证证书</w:t>
            </w:r>
            <w:r>
              <w:rPr>
                <w:rFonts w:hint="eastAsia" w:ascii="宋体" w:hAnsi="宋体" w:eastAsia="宋体" w:cs="新宋体"/>
                <w:bCs w:val="0"/>
                <w:color w:val="auto"/>
                <w:spacing w:val="0"/>
                <w:kern w:val="2"/>
                <w:sz w:val="18"/>
                <w:szCs w:val="18"/>
                <w:lang w:val="en-US" w:eastAsia="zh-CN" w:bidi="ar-SA"/>
              </w:rPr>
              <w:t>、标志的使用情况、投诉或事故、监督抽查情况、体系变动</w:t>
            </w:r>
          </w:p>
        </w:tc>
        <w:tc>
          <w:tcPr>
            <w:tcW w:w="1065" w:type="dxa"/>
            <w:tcBorders>
              <w:right w:val="single" w:color="auto" w:sz="8" w:space="0"/>
            </w:tcBorders>
          </w:tcPr>
          <w:p>
            <w:pPr>
              <w:snapToGrid w:val="0"/>
              <w:spacing w:line="320" w:lineRule="exact"/>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401" w:type="dxa"/>
            <w:vMerge w:val="continue"/>
          </w:tcPr>
          <w:p>
            <w:pPr>
              <w:snapToGrid w:val="0"/>
              <w:spacing w:line="320" w:lineRule="exact"/>
              <w:rPr>
                <w:rFonts w:hint="eastAsia" w:ascii="宋体" w:hAnsi="宋体"/>
                <w:b/>
                <w:bCs/>
                <w:color w:val="auto"/>
                <w:sz w:val="21"/>
                <w:szCs w:val="21"/>
              </w:rPr>
            </w:pPr>
          </w:p>
        </w:tc>
        <w:tc>
          <w:tcPr>
            <w:tcW w:w="915" w:type="dxa"/>
          </w:tcPr>
          <w:p>
            <w:pPr>
              <w:spacing w:line="300" w:lineRule="exact"/>
              <w:rPr>
                <w:rFonts w:hint="eastAsia" w:ascii="宋体" w:hAnsi="宋体" w:eastAsia="宋体" w:cs="Times New Roman"/>
                <w:b/>
                <w:bCs/>
                <w:color w:val="auto"/>
                <w:sz w:val="21"/>
                <w:szCs w:val="21"/>
              </w:rPr>
            </w:pPr>
            <w:r>
              <w:rPr>
                <w:rFonts w:hint="eastAsia" w:ascii="宋体" w:hAnsi="宋体" w:eastAsia="宋体" w:cs="Times New Roman"/>
                <w:b/>
                <w:bCs/>
                <w:color w:val="auto"/>
                <w:sz w:val="21"/>
                <w:szCs w:val="21"/>
              </w:rPr>
              <w:t>综合部（含财务）</w:t>
            </w:r>
          </w:p>
        </w:tc>
        <w:tc>
          <w:tcPr>
            <w:tcW w:w="5985" w:type="dxa"/>
          </w:tcPr>
          <w:p>
            <w:pPr>
              <w:snapToGrid w:val="0"/>
              <w:spacing w:line="24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QMS-2015</w:t>
            </w:r>
          </w:p>
          <w:p>
            <w:pPr>
              <w:snapToGrid w:val="0"/>
              <w:spacing w:line="240" w:lineRule="exact"/>
              <w:rPr>
                <w:rFonts w:hint="eastAsia" w:ascii="宋体" w:hAnsi="宋体" w:eastAsia="宋体" w:cs="新宋体"/>
                <w:bCs w:val="0"/>
                <w:color w:val="auto"/>
                <w:spacing w:val="0"/>
                <w:kern w:val="2"/>
                <w:sz w:val="18"/>
                <w:szCs w:val="18"/>
                <w:lang w:val="en-US" w:eastAsia="zh-CN" w:bidi="ar-SA"/>
              </w:rPr>
            </w:pPr>
            <w:r>
              <w:rPr>
                <w:rFonts w:hint="eastAsia" w:ascii="宋体" w:hAnsi="宋体" w:eastAsia="宋体" w:cs="新宋体"/>
                <w:color w:val="auto"/>
                <w:sz w:val="18"/>
                <w:szCs w:val="18"/>
                <w:lang w:val="en-US" w:eastAsia="zh-CN"/>
              </w:rPr>
              <w:t>5.3组织的角色、职责和权限；6.2质量目标及其实现的策划；</w:t>
            </w:r>
            <w:r>
              <w:rPr>
                <w:rFonts w:hint="eastAsia" w:ascii="宋体" w:hAnsi="宋体" w:cs="新宋体"/>
                <w:color w:val="auto"/>
                <w:sz w:val="18"/>
                <w:szCs w:val="18"/>
              </w:rPr>
              <w:t>7.1.2人员；7.1.6组织知识；</w:t>
            </w:r>
            <w:r>
              <w:rPr>
                <w:rFonts w:hint="eastAsia" w:ascii="宋体" w:hAnsi="宋体" w:eastAsia="宋体" w:cs="新宋体"/>
                <w:color w:val="auto"/>
                <w:sz w:val="18"/>
                <w:szCs w:val="18"/>
                <w:lang w:val="en-US" w:eastAsia="zh-CN"/>
              </w:rPr>
              <w:t>7.2能力；7.3意识；7.4沟通；7.5文件化信息；9.2内部审核。</w:t>
            </w:r>
          </w:p>
        </w:tc>
        <w:tc>
          <w:tcPr>
            <w:tcW w:w="1065" w:type="dxa"/>
            <w:tcBorders>
              <w:right w:val="single" w:color="auto" w:sz="8" w:space="0"/>
            </w:tcBorders>
          </w:tcPr>
          <w:p>
            <w:pPr>
              <w:snapToGrid w:val="0"/>
              <w:spacing w:line="320" w:lineRule="exact"/>
              <w:rPr>
                <w:rFonts w:hint="default" w:ascii="宋体" w:hAnsi="宋体"/>
                <w:b/>
                <w:bCs/>
                <w:color w:val="auto"/>
                <w:sz w:val="18"/>
                <w:szCs w:val="18"/>
                <w:lang w:val="en-US" w:eastAsia="zh-CN"/>
              </w:rPr>
            </w:pPr>
            <w:r>
              <w:rPr>
                <w:rFonts w:hint="eastAsia" w:ascii="宋体" w:hAnsi="宋体"/>
                <w:b/>
                <w:bCs/>
                <w:color w:val="auto"/>
                <w:sz w:val="18"/>
                <w:szCs w:val="18"/>
                <w:lang w:val="en-US"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5"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401" w:type="dxa"/>
            <w:vMerge w:val="continue"/>
          </w:tcPr>
          <w:p>
            <w:pPr>
              <w:snapToGrid w:val="0"/>
              <w:spacing w:line="320" w:lineRule="exact"/>
              <w:rPr>
                <w:rFonts w:ascii="宋体" w:hAnsi="宋体"/>
                <w:b/>
                <w:bCs/>
                <w:color w:val="auto"/>
                <w:sz w:val="21"/>
                <w:szCs w:val="21"/>
              </w:rPr>
            </w:pPr>
          </w:p>
        </w:tc>
        <w:tc>
          <w:tcPr>
            <w:tcW w:w="915" w:type="dxa"/>
          </w:tcPr>
          <w:p>
            <w:pPr>
              <w:spacing w:line="300" w:lineRule="exact"/>
              <w:rPr>
                <w:rFonts w:hint="eastAsia" w:ascii="宋体" w:hAnsi="宋体" w:eastAsia="宋体" w:cs="Times New Roman"/>
                <w:b/>
                <w:bCs/>
                <w:color w:val="auto"/>
                <w:sz w:val="21"/>
                <w:szCs w:val="21"/>
              </w:rPr>
            </w:pPr>
            <w:r>
              <w:rPr>
                <w:rFonts w:hint="eastAsia" w:ascii="宋体" w:hAnsi="宋体" w:eastAsia="宋体" w:cs="Times New Roman"/>
                <w:b/>
                <w:bCs/>
                <w:color w:val="auto"/>
                <w:sz w:val="21"/>
                <w:szCs w:val="21"/>
              </w:rPr>
              <w:t>综合部（含财务）</w:t>
            </w:r>
          </w:p>
        </w:tc>
        <w:tc>
          <w:tcPr>
            <w:tcW w:w="5985" w:type="dxa"/>
          </w:tcPr>
          <w:p>
            <w:pPr>
              <w:snapToGrid w:val="0"/>
              <w:spacing w:line="240" w:lineRule="exact"/>
              <w:rPr>
                <w:rFonts w:hint="default" w:ascii="宋体" w:hAnsi="宋体" w:cs="新宋体"/>
                <w:color w:val="auto"/>
                <w:sz w:val="18"/>
                <w:szCs w:val="18"/>
                <w:lang w:val="en-US" w:eastAsia="zh-CN"/>
              </w:rPr>
            </w:pPr>
            <w:r>
              <w:rPr>
                <w:rFonts w:hint="eastAsia" w:ascii="宋体" w:hAnsi="宋体" w:cs="新宋体"/>
                <w:color w:val="auto"/>
                <w:sz w:val="18"/>
                <w:szCs w:val="18"/>
              </w:rPr>
              <w:t>EMS-2015</w:t>
            </w:r>
            <w:r>
              <w:rPr>
                <w:rFonts w:hint="eastAsia" w:ascii="宋体" w:hAnsi="宋体" w:cs="新宋体"/>
                <w:color w:val="auto"/>
                <w:sz w:val="18"/>
                <w:szCs w:val="18"/>
                <w:lang w:val="en-US" w:eastAsia="zh-CN"/>
              </w:rPr>
              <w:t xml:space="preserve">  </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5.3组织的角色、职责和权限;6.1.2环境因素；6.1.3合规义务；6.2目标及其达成的策划；7.2能力；7.3意识；7.4沟通；7.5形成文件信息；8.1运行策划和控制；8.2应急准备和响应；9.1监视、测量、分析与评估</w:t>
            </w:r>
            <w:r>
              <w:rPr>
                <w:rFonts w:hint="eastAsia" w:ascii="宋体" w:hAnsi="宋体" w:cs="新宋体"/>
                <w:color w:val="auto"/>
                <w:sz w:val="18"/>
                <w:szCs w:val="18"/>
                <w:lang w:val="en-US" w:eastAsia="zh-CN"/>
              </w:rPr>
              <w:t>(</w:t>
            </w:r>
            <w:r>
              <w:rPr>
                <w:rFonts w:hint="eastAsia" w:ascii="宋体" w:hAnsi="宋体" w:eastAsia="宋体" w:cs="新宋体"/>
                <w:color w:val="auto"/>
                <w:sz w:val="18"/>
                <w:szCs w:val="18"/>
              </w:rPr>
              <w:t>上次审核不符合项的验证</w:t>
            </w:r>
            <w:r>
              <w:rPr>
                <w:rFonts w:hint="eastAsia" w:ascii="宋体" w:hAnsi="宋体" w:eastAsia="宋体" w:cs="新宋体"/>
                <w:color w:val="auto"/>
                <w:sz w:val="18"/>
                <w:szCs w:val="18"/>
                <w:lang w:val="en-US" w:eastAsia="zh-CN"/>
              </w:rPr>
              <w:t>)</w:t>
            </w:r>
            <w:r>
              <w:rPr>
                <w:rFonts w:hint="eastAsia" w:ascii="宋体" w:hAnsi="宋体" w:cs="新宋体"/>
                <w:color w:val="auto"/>
                <w:sz w:val="18"/>
                <w:szCs w:val="18"/>
              </w:rPr>
              <w:t>；9.1.2符合性评估；9.2内部审核；10.2不符合和纠正措施；10.3持续改进/EMS运行控制相关财务支出证据。</w:t>
            </w:r>
          </w:p>
          <w:p>
            <w:pPr>
              <w:snapToGrid w:val="0"/>
              <w:spacing w:line="240" w:lineRule="exact"/>
              <w:rPr>
                <w:rFonts w:hint="eastAsia" w:ascii="宋体" w:hAnsi="宋体" w:cs="新宋体"/>
                <w:color w:val="auto"/>
                <w:sz w:val="18"/>
                <w:szCs w:val="18"/>
              </w:rPr>
            </w:pPr>
          </w:p>
          <w:p>
            <w:pPr>
              <w:snapToGrid w:val="0"/>
              <w:spacing w:line="240" w:lineRule="exact"/>
              <w:rPr>
                <w:rFonts w:hint="default" w:ascii="宋体" w:hAnsi="宋体" w:cs="新宋体"/>
                <w:color w:val="auto"/>
                <w:sz w:val="18"/>
                <w:szCs w:val="18"/>
                <w:lang w:val="en-US" w:eastAsia="zh-CN"/>
              </w:rPr>
            </w:pPr>
            <w:r>
              <w:rPr>
                <w:rFonts w:hint="eastAsia" w:ascii="宋体" w:hAnsi="宋体" w:cs="新宋体"/>
                <w:color w:val="auto"/>
                <w:sz w:val="18"/>
                <w:szCs w:val="18"/>
              </w:rPr>
              <w:t>ISO45001：2018</w:t>
            </w:r>
            <w:r>
              <w:rPr>
                <w:rFonts w:hint="eastAsia" w:ascii="宋体" w:hAnsi="宋体" w:cs="新宋体"/>
                <w:color w:val="auto"/>
                <w:sz w:val="18"/>
                <w:szCs w:val="18"/>
                <w:lang w:val="en-US" w:eastAsia="zh-CN"/>
              </w:rPr>
              <w:t xml:space="preserve">   </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5.3组织的角色、职责和权限；6.1.2危险源辨识和职业安全风险评价；</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6.1.3法律法规要求和其他要求；6.2目标及其实现的策划；7.2能力；7.3意识；7.4沟通；7.5形成文件信息；8.1运行策划和控制；8.2应急准备和响应；9.1监视、测量、分析和评价</w:t>
            </w:r>
            <w:r>
              <w:rPr>
                <w:rFonts w:hint="eastAsia" w:ascii="宋体" w:hAnsi="宋体" w:cs="新宋体"/>
                <w:color w:val="auto"/>
                <w:sz w:val="18"/>
                <w:szCs w:val="18"/>
                <w:lang w:val="en-US" w:eastAsia="zh-CN"/>
              </w:rPr>
              <w:t>(</w:t>
            </w:r>
            <w:r>
              <w:rPr>
                <w:rFonts w:hint="eastAsia" w:ascii="宋体" w:hAnsi="宋体" w:eastAsia="宋体" w:cs="新宋体"/>
                <w:color w:val="auto"/>
                <w:sz w:val="18"/>
                <w:szCs w:val="18"/>
              </w:rPr>
              <w:t>上次审核不符合项的验证</w:t>
            </w:r>
            <w:r>
              <w:rPr>
                <w:rFonts w:hint="eastAsia" w:ascii="宋体" w:hAnsi="宋体" w:eastAsia="宋体" w:cs="新宋体"/>
                <w:color w:val="auto"/>
                <w:sz w:val="18"/>
                <w:szCs w:val="18"/>
                <w:lang w:val="en-US" w:eastAsia="zh-CN"/>
              </w:rPr>
              <w:t>)</w:t>
            </w:r>
            <w:r>
              <w:rPr>
                <w:rFonts w:hint="eastAsia" w:ascii="宋体" w:hAnsi="宋体" w:cs="新宋体"/>
                <w:color w:val="auto"/>
                <w:sz w:val="18"/>
                <w:szCs w:val="18"/>
              </w:rPr>
              <w:t>；9.1.2法律法规要求和其他要求的合规性评价；9.2内部审核；10.1事件、不符合和纠正措施；10.2持续改进/OHSMS运行控制财务支出证据。</w:t>
            </w:r>
          </w:p>
        </w:tc>
        <w:tc>
          <w:tcPr>
            <w:tcW w:w="1065" w:type="dxa"/>
            <w:tcBorders>
              <w:right w:val="single" w:color="auto" w:sz="8" w:space="0"/>
            </w:tcBorders>
          </w:tcPr>
          <w:p>
            <w:pPr>
              <w:snapToGrid w:val="0"/>
              <w:spacing w:line="320" w:lineRule="exact"/>
              <w:rPr>
                <w:rFonts w:ascii="宋体" w:hAnsi="宋体"/>
                <w:b/>
                <w:bCs/>
                <w:color w:val="auto"/>
                <w:sz w:val="18"/>
                <w:szCs w:val="18"/>
              </w:rPr>
            </w:pPr>
            <w:r>
              <w:rPr>
                <w:rFonts w:hint="eastAsia" w:ascii="宋体" w:hAnsi="宋体"/>
                <w:b/>
                <w:bCs/>
                <w:color w:val="auto"/>
                <w:sz w:val="18"/>
                <w:szCs w:val="18"/>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401" w:type="dxa"/>
            <w:vMerge w:val="restart"/>
          </w:tcPr>
          <w:p>
            <w:pPr>
              <w:snapToGrid w:val="0"/>
              <w:spacing w:line="320" w:lineRule="exact"/>
              <w:rPr>
                <w:rFonts w:ascii="宋体" w:hAnsi="宋体"/>
                <w:b/>
                <w:bCs/>
                <w:color w:val="auto"/>
                <w:sz w:val="21"/>
                <w:szCs w:val="21"/>
              </w:rPr>
            </w:pPr>
            <w:r>
              <w:rPr>
                <w:rFonts w:hint="eastAsia" w:ascii="宋体" w:hAnsi="宋体"/>
                <w:b/>
                <w:bCs/>
                <w:color w:val="auto"/>
                <w:sz w:val="21"/>
                <w:szCs w:val="21"/>
                <w:lang w:val="en-US" w:eastAsia="zh-CN"/>
              </w:rPr>
              <w:t>12</w:t>
            </w:r>
            <w:r>
              <w:rPr>
                <w:rFonts w:hint="eastAsia" w:ascii="宋体" w:hAnsi="宋体"/>
                <w:b/>
                <w:bCs/>
                <w:color w:val="auto"/>
                <w:sz w:val="21"/>
                <w:szCs w:val="21"/>
              </w:rPr>
              <w:t>:</w:t>
            </w:r>
            <w:r>
              <w:rPr>
                <w:rFonts w:hint="eastAsia" w:ascii="宋体" w:hAnsi="宋体"/>
                <w:b/>
                <w:bCs/>
                <w:color w:val="auto"/>
                <w:sz w:val="21"/>
                <w:szCs w:val="21"/>
                <w:lang w:val="en-US" w:eastAsia="zh-CN"/>
              </w:rPr>
              <w:t>3</w:t>
            </w:r>
            <w:r>
              <w:rPr>
                <w:rFonts w:hint="eastAsia" w:ascii="宋体" w:hAnsi="宋体"/>
                <w:b/>
                <w:bCs/>
                <w:color w:val="auto"/>
                <w:sz w:val="21"/>
                <w:szCs w:val="21"/>
              </w:rPr>
              <w:t>0-1</w:t>
            </w:r>
            <w:r>
              <w:rPr>
                <w:rFonts w:hint="eastAsia" w:ascii="宋体" w:hAnsi="宋体"/>
                <w:b/>
                <w:bCs/>
                <w:color w:val="auto"/>
                <w:sz w:val="21"/>
                <w:szCs w:val="21"/>
                <w:lang w:val="en-US" w:eastAsia="zh-CN"/>
              </w:rPr>
              <w:t>7</w:t>
            </w:r>
            <w:r>
              <w:rPr>
                <w:rFonts w:hint="eastAsia" w:ascii="宋体" w:hAnsi="宋体"/>
                <w:b/>
                <w:bCs/>
                <w:color w:val="auto"/>
                <w:sz w:val="21"/>
                <w:szCs w:val="21"/>
              </w:rPr>
              <w:t>:</w:t>
            </w:r>
            <w:r>
              <w:rPr>
                <w:rFonts w:hint="eastAsia" w:ascii="宋体" w:hAnsi="宋体"/>
                <w:b/>
                <w:bCs/>
                <w:color w:val="auto"/>
                <w:sz w:val="21"/>
                <w:szCs w:val="21"/>
                <w:lang w:val="en-US" w:eastAsia="zh-CN"/>
              </w:rPr>
              <w:t>3</w:t>
            </w:r>
            <w:r>
              <w:rPr>
                <w:rFonts w:hint="eastAsia" w:ascii="宋体" w:hAnsi="宋体"/>
                <w:b/>
                <w:bCs/>
                <w:color w:val="auto"/>
                <w:sz w:val="21"/>
                <w:szCs w:val="21"/>
              </w:rPr>
              <w:t>0</w:t>
            </w:r>
          </w:p>
          <w:p>
            <w:pPr>
              <w:snapToGrid w:val="0"/>
              <w:spacing w:line="320" w:lineRule="exact"/>
              <w:rPr>
                <w:rFonts w:ascii="宋体" w:hAnsi="宋体"/>
                <w:b/>
                <w:bCs/>
                <w:color w:val="auto"/>
                <w:sz w:val="21"/>
                <w:szCs w:val="21"/>
              </w:rPr>
            </w:pPr>
          </w:p>
        </w:tc>
        <w:tc>
          <w:tcPr>
            <w:tcW w:w="915" w:type="dxa"/>
          </w:tcPr>
          <w:p>
            <w:pPr>
              <w:spacing w:line="300" w:lineRule="exact"/>
              <w:rPr>
                <w:rFonts w:hint="eastAsia" w:ascii="宋体" w:hAnsi="宋体" w:cs="新宋体"/>
                <w:color w:val="auto"/>
                <w:sz w:val="21"/>
                <w:szCs w:val="21"/>
              </w:rPr>
            </w:pPr>
            <w:r>
              <w:rPr>
                <w:rFonts w:hint="eastAsia" w:ascii="宋体" w:hAnsi="宋体" w:eastAsia="宋体" w:cs="Times New Roman"/>
                <w:b/>
                <w:bCs/>
                <w:color w:val="auto"/>
                <w:sz w:val="21"/>
                <w:szCs w:val="21"/>
              </w:rPr>
              <w:t>综合部（含财务）</w:t>
            </w:r>
          </w:p>
        </w:tc>
        <w:tc>
          <w:tcPr>
            <w:tcW w:w="5985" w:type="dxa"/>
          </w:tcPr>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8.2产品和服务的要求；8.4外部提供供方的控制；</w:t>
            </w:r>
            <w:r>
              <w:rPr>
                <w:rFonts w:hint="eastAsia" w:ascii="宋体" w:hAnsi="宋体" w:eastAsia="宋体" w:cs="新宋体"/>
                <w:color w:val="auto"/>
                <w:sz w:val="18"/>
                <w:szCs w:val="18"/>
              </w:rPr>
              <w:t>8.5.3顾客或外部供方的财产；</w:t>
            </w:r>
            <w:r>
              <w:rPr>
                <w:rFonts w:hint="eastAsia" w:ascii="宋体" w:hAnsi="宋体" w:cs="新宋体"/>
                <w:color w:val="auto"/>
                <w:sz w:val="18"/>
                <w:szCs w:val="18"/>
              </w:rPr>
              <w:t>9.1.2顾客满意</w:t>
            </w:r>
            <w:r>
              <w:rPr>
                <w:rFonts w:hint="eastAsia" w:ascii="宋体" w:hAnsi="宋体" w:cs="新宋体"/>
                <w:color w:val="auto"/>
                <w:sz w:val="18"/>
                <w:szCs w:val="18"/>
                <w:lang w:val="en-US" w:eastAsia="zh-CN"/>
              </w:rPr>
              <w:t>(</w:t>
            </w:r>
            <w:r>
              <w:rPr>
                <w:rFonts w:hint="eastAsia" w:ascii="宋体" w:hAnsi="宋体" w:eastAsia="宋体" w:cs="新宋体"/>
                <w:color w:val="auto"/>
                <w:sz w:val="18"/>
                <w:szCs w:val="18"/>
              </w:rPr>
              <w:t>上次审核不符合项的验证</w:t>
            </w:r>
            <w:r>
              <w:rPr>
                <w:rFonts w:hint="eastAsia" w:ascii="宋体" w:hAnsi="宋体" w:eastAsia="宋体" w:cs="新宋体"/>
                <w:color w:val="auto"/>
                <w:sz w:val="18"/>
                <w:szCs w:val="18"/>
                <w:lang w:val="en-US" w:eastAsia="zh-CN"/>
              </w:rPr>
              <w:t>)</w:t>
            </w:r>
            <w:r>
              <w:rPr>
                <w:rFonts w:hint="eastAsia" w:ascii="宋体" w:hAnsi="宋体" w:eastAsia="宋体" w:cs="新宋体"/>
                <w:color w:val="auto"/>
                <w:sz w:val="18"/>
                <w:szCs w:val="18"/>
              </w:rPr>
              <w:t>；</w:t>
            </w:r>
          </w:p>
        </w:tc>
        <w:tc>
          <w:tcPr>
            <w:tcW w:w="1065" w:type="dxa"/>
            <w:tcBorders>
              <w:right w:val="single" w:color="auto" w:sz="8" w:space="0"/>
            </w:tcBorders>
          </w:tcPr>
          <w:p>
            <w:pPr>
              <w:snapToGrid w:val="0"/>
              <w:spacing w:line="320" w:lineRule="exact"/>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1011" w:type="dxa"/>
            <w:vMerge w:val="continue"/>
            <w:tcBorders>
              <w:left w:val="single" w:color="auto" w:sz="8" w:space="0"/>
            </w:tcBorders>
          </w:tcPr>
          <w:p>
            <w:pPr>
              <w:snapToGrid w:val="0"/>
              <w:spacing w:line="320" w:lineRule="exact"/>
              <w:rPr>
                <w:rFonts w:ascii="宋体" w:hAnsi="宋体"/>
                <w:b/>
                <w:bCs/>
                <w:color w:val="auto"/>
                <w:sz w:val="21"/>
                <w:szCs w:val="21"/>
              </w:rPr>
            </w:pPr>
          </w:p>
        </w:tc>
        <w:tc>
          <w:tcPr>
            <w:tcW w:w="1401" w:type="dxa"/>
            <w:vMerge w:val="continue"/>
          </w:tcPr>
          <w:p>
            <w:pPr>
              <w:snapToGrid w:val="0"/>
              <w:spacing w:line="320" w:lineRule="exact"/>
              <w:rPr>
                <w:rFonts w:ascii="宋体" w:hAnsi="宋体"/>
                <w:b/>
                <w:bCs/>
                <w:color w:val="auto"/>
                <w:sz w:val="21"/>
                <w:szCs w:val="21"/>
              </w:rPr>
            </w:pPr>
          </w:p>
        </w:tc>
        <w:tc>
          <w:tcPr>
            <w:tcW w:w="915" w:type="dxa"/>
            <w:vAlign w:val="top"/>
          </w:tcPr>
          <w:p>
            <w:pPr>
              <w:spacing w:line="300" w:lineRule="exact"/>
              <w:rPr>
                <w:rFonts w:hint="eastAsia" w:ascii="宋体" w:hAnsi="宋体" w:eastAsia="宋体" w:cs="Times New Roman"/>
                <w:b/>
                <w:bCs/>
                <w:color w:val="auto"/>
                <w:sz w:val="21"/>
                <w:szCs w:val="21"/>
              </w:rPr>
            </w:pPr>
            <w:r>
              <w:rPr>
                <w:rFonts w:hint="eastAsia" w:ascii="宋体" w:hAnsi="宋体" w:eastAsia="宋体" w:cs="Times New Roman"/>
                <w:b/>
                <w:bCs/>
                <w:color w:val="auto"/>
                <w:sz w:val="21"/>
                <w:szCs w:val="21"/>
              </w:rPr>
              <w:t>技术部</w:t>
            </w:r>
          </w:p>
          <w:p>
            <w:pPr>
              <w:spacing w:line="300" w:lineRule="exact"/>
              <w:rPr>
                <w:rFonts w:hint="eastAsia" w:ascii="宋体" w:hAnsi="宋体" w:cs="新宋体"/>
                <w:color w:val="auto"/>
                <w:sz w:val="21"/>
                <w:szCs w:val="21"/>
              </w:rPr>
            </w:pPr>
            <w:r>
              <w:rPr>
                <w:rFonts w:hint="eastAsia" w:ascii="宋体" w:hAnsi="宋体" w:eastAsia="宋体" w:cs="Times New Roman"/>
                <w:b/>
                <w:bCs/>
                <w:color w:val="auto"/>
                <w:sz w:val="21"/>
                <w:szCs w:val="21"/>
              </w:rPr>
              <w:t>（含临时场所</w:t>
            </w:r>
            <w:r>
              <w:rPr>
                <w:rFonts w:hint="eastAsia" w:ascii="宋体" w:hAnsi="宋体" w:cs="Times New Roman"/>
                <w:b/>
                <w:bCs/>
                <w:color w:val="auto"/>
                <w:sz w:val="21"/>
                <w:szCs w:val="21"/>
                <w:lang w:val="en-US" w:eastAsia="zh-CN"/>
              </w:rPr>
              <w:t>往返1小时</w:t>
            </w:r>
            <w:r>
              <w:rPr>
                <w:rFonts w:hint="eastAsia" w:ascii="宋体" w:hAnsi="宋体" w:cs="新宋体"/>
                <w:color w:val="auto"/>
                <w:sz w:val="21"/>
                <w:szCs w:val="21"/>
              </w:rPr>
              <w:t>）</w:t>
            </w:r>
          </w:p>
        </w:tc>
        <w:tc>
          <w:tcPr>
            <w:tcW w:w="5985" w:type="dxa"/>
            <w:vAlign w:val="top"/>
          </w:tcPr>
          <w:p>
            <w:pPr>
              <w:snapToGrid w:val="0"/>
              <w:spacing w:line="240" w:lineRule="exact"/>
              <w:rPr>
                <w:rFonts w:hint="eastAsia" w:ascii="宋体" w:hAnsi="宋体" w:eastAsia="宋体" w:cs="新宋体"/>
                <w:color w:val="auto"/>
                <w:kern w:val="0"/>
                <w:sz w:val="18"/>
                <w:szCs w:val="18"/>
                <w:lang w:val="en-US" w:eastAsia="zh-CN" w:bidi="ar-SA"/>
              </w:rPr>
            </w:pPr>
            <w:r>
              <w:rPr>
                <w:rFonts w:hint="eastAsia" w:ascii="宋体" w:hAnsi="宋体" w:eastAsia="宋体" w:cs="新宋体"/>
                <w:color w:val="auto"/>
                <w:kern w:val="0"/>
                <w:sz w:val="18"/>
                <w:szCs w:val="18"/>
                <w:lang w:val="en-US" w:eastAsia="zh-CN" w:bidi="ar-SA"/>
              </w:rPr>
              <w:t>QMS-2015</w:t>
            </w:r>
          </w:p>
          <w:p>
            <w:pPr>
              <w:snapToGrid w:val="0"/>
              <w:spacing w:line="240" w:lineRule="exact"/>
              <w:rPr>
                <w:rFonts w:hint="eastAsia" w:ascii="宋体" w:hAnsi="宋体" w:eastAsia="宋体" w:cs="新宋体"/>
                <w:color w:val="auto"/>
                <w:kern w:val="0"/>
                <w:sz w:val="18"/>
                <w:szCs w:val="18"/>
                <w:lang w:val="en-US" w:eastAsia="zh-CN" w:bidi="ar-SA"/>
              </w:rPr>
            </w:pPr>
            <w:r>
              <w:rPr>
                <w:rFonts w:hint="eastAsia" w:ascii="宋体" w:hAnsi="宋体" w:eastAsia="宋体" w:cs="新宋体"/>
                <w:color w:val="auto"/>
                <w:kern w:val="0"/>
                <w:sz w:val="18"/>
                <w:szCs w:val="18"/>
                <w:lang w:val="en-US" w:eastAsia="zh-CN" w:bidi="ar-SA"/>
              </w:rPr>
              <w:t>5.3组织的角色、职责和权限；6.2质量目标及其实现的策划；7.1.3基础设施；7.1.4过程运行环境；7.1.5监视和测量资源；8.1运行策划和控制；8.3设计开发控制；8.5.1生产和服务提供的控制；8.5.2标识和可追溯性；8.5.4防护；8.5.5交付后的活动；8.5.6更改控制；8.6产品和服务放行；8.7不合格输出的控制；</w:t>
            </w:r>
          </w:p>
          <w:p>
            <w:pPr>
              <w:rPr>
                <w:rFonts w:hint="eastAsia" w:ascii="宋体" w:hAnsi="宋体" w:eastAsia="宋体" w:cs="新宋体"/>
                <w:color w:val="auto"/>
                <w:kern w:val="0"/>
                <w:sz w:val="18"/>
                <w:szCs w:val="18"/>
                <w:lang w:val="en-US" w:eastAsia="zh-CN" w:bidi="ar-SA"/>
              </w:rPr>
            </w:pPr>
            <w:r>
              <w:rPr>
                <w:rFonts w:hint="eastAsia" w:ascii="宋体" w:hAnsi="宋体" w:eastAsia="宋体" w:cs="新宋体"/>
                <w:color w:val="auto"/>
                <w:kern w:val="0"/>
                <w:sz w:val="18"/>
                <w:szCs w:val="18"/>
                <w:lang w:val="en-US" w:eastAsia="zh-CN" w:bidi="ar-SA"/>
              </w:rPr>
              <w:t>EMS-2015</w:t>
            </w:r>
          </w:p>
          <w:p>
            <w:pPr>
              <w:snapToGrid w:val="0"/>
              <w:spacing w:line="240" w:lineRule="exact"/>
              <w:rPr>
                <w:rFonts w:hint="eastAsia" w:ascii="宋体" w:hAnsi="宋体" w:cs="新宋体"/>
                <w:color w:val="auto"/>
                <w:sz w:val="18"/>
                <w:szCs w:val="18"/>
              </w:rPr>
            </w:pPr>
            <w:r>
              <w:rPr>
                <w:rFonts w:hint="eastAsia" w:ascii="宋体" w:hAnsi="宋体" w:eastAsia="宋体" w:cs="新宋体"/>
                <w:color w:val="auto"/>
                <w:kern w:val="0"/>
                <w:sz w:val="18"/>
                <w:szCs w:val="18"/>
                <w:lang w:val="en-US" w:eastAsia="zh-CN" w:bidi="ar-SA"/>
              </w:rPr>
              <w:t>6.1.</w:t>
            </w:r>
            <w:r>
              <w:rPr>
                <w:rFonts w:hint="eastAsia" w:ascii="宋体" w:hAnsi="宋体" w:cs="新宋体"/>
                <w:color w:val="auto"/>
                <w:sz w:val="18"/>
                <w:szCs w:val="18"/>
              </w:rPr>
              <w:t>2环境因素；8.1运行策划和控制；8.2应急准备和响应</w:t>
            </w:r>
          </w:p>
          <w:p>
            <w:pPr>
              <w:snapToGrid w:val="0"/>
              <w:spacing w:line="240" w:lineRule="exact"/>
              <w:rPr>
                <w:color w:val="auto"/>
              </w:rPr>
            </w:pPr>
            <w:r>
              <w:rPr>
                <w:rFonts w:hint="eastAsia" w:ascii="宋体" w:hAnsi="宋体" w:cs="新宋体"/>
                <w:color w:val="auto"/>
                <w:sz w:val="18"/>
                <w:szCs w:val="18"/>
              </w:rPr>
              <w:t>ISO45001：2018</w:t>
            </w:r>
          </w:p>
          <w:p>
            <w:pPr>
              <w:pStyle w:val="2"/>
              <w:rPr>
                <w:rFonts w:hint="eastAsia"/>
                <w:color w:val="auto"/>
              </w:rPr>
            </w:pPr>
            <w:r>
              <w:rPr>
                <w:rFonts w:hint="eastAsia" w:ascii="宋体" w:hAnsi="宋体" w:eastAsia="宋体" w:cs="新宋体"/>
                <w:color w:val="auto"/>
                <w:sz w:val="18"/>
                <w:szCs w:val="18"/>
              </w:rPr>
              <w:t>6.1.2危险源辨识和职业安全风险评价；8.1运行策划和控制；8.2应急准备和响应；</w:t>
            </w:r>
          </w:p>
        </w:tc>
        <w:tc>
          <w:tcPr>
            <w:tcW w:w="1065" w:type="dxa"/>
            <w:tcBorders>
              <w:right w:val="single" w:color="auto" w:sz="8" w:space="0"/>
            </w:tcBorders>
            <w:vAlign w:val="top"/>
          </w:tcPr>
          <w:p>
            <w:pPr>
              <w:snapToGrid w:val="0"/>
              <w:spacing w:line="320" w:lineRule="exact"/>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1011" w:type="dxa"/>
            <w:vMerge w:val="continue"/>
            <w:tcBorders>
              <w:left w:val="single" w:color="auto" w:sz="8" w:space="0"/>
            </w:tcBorders>
            <w:vAlign w:val="center"/>
          </w:tcPr>
          <w:p>
            <w:pPr>
              <w:snapToGrid w:val="0"/>
              <w:spacing w:line="320" w:lineRule="exact"/>
              <w:jc w:val="center"/>
              <w:rPr>
                <w:rFonts w:ascii="宋体" w:hAnsi="宋体"/>
                <w:b/>
                <w:bCs/>
                <w:color w:val="auto"/>
                <w:sz w:val="21"/>
                <w:szCs w:val="21"/>
              </w:rPr>
            </w:pPr>
          </w:p>
        </w:tc>
        <w:tc>
          <w:tcPr>
            <w:tcW w:w="1401" w:type="dxa"/>
            <w:vMerge w:val="continue"/>
          </w:tcPr>
          <w:p>
            <w:pPr>
              <w:snapToGrid w:val="0"/>
              <w:spacing w:line="320" w:lineRule="exact"/>
              <w:rPr>
                <w:rFonts w:ascii="宋体" w:hAnsi="宋体"/>
                <w:b/>
                <w:bCs/>
                <w:color w:val="auto"/>
                <w:sz w:val="21"/>
                <w:szCs w:val="21"/>
              </w:rPr>
            </w:pPr>
          </w:p>
        </w:tc>
        <w:tc>
          <w:tcPr>
            <w:tcW w:w="915" w:type="dxa"/>
          </w:tcPr>
          <w:p>
            <w:pPr>
              <w:spacing w:line="300" w:lineRule="exact"/>
              <w:rPr>
                <w:rFonts w:hint="eastAsia" w:ascii="宋体" w:hAnsi="宋体" w:eastAsia="宋体" w:cs="Times New Roman"/>
                <w:b/>
                <w:bCs/>
                <w:color w:val="auto"/>
                <w:sz w:val="21"/>
                <w:szCs w:val="21"/>
              </w:rPr>
            </w:pPr>
            <w:r>
              <w:rPr>
                <w:rFonts w:hint="eastAsia" w:ascii="宋体" w:hAnsi="宋体" w:eastAsia="宋体" w:cs="Times New Roman"/>
                <w:b/>
                <w:bCs/>
                <w:color w:val="auto"/>
                <w:sz w:val="21"/>
                <w:szCs w:val="21"/>
              </w:rPr>
              <w:t>技术部</w:t>
            </w:r>
          </w:p>
          <w:p>
            <w:pPr>
              <w:spacing w:line="300" w:lineRule="exact"/>
              <w:rPr>
                <w:rFonts w:ascii="宋体" w:hAnsi="宋体" w:cs="新宋体"/>
                <w:color w:val="auto"/>
                <w:sz w:val="21"/>
                <w:szCs w:val="21"/>
              </w:rPr>
            </w:pPr>
            <w:r>
              <w:rPr>
                <w:rFonts w:hint="eastAsia" w:ascii="宋体" w:hAnsi="宋体" w:eastAsia="宋体" w:cs="Times New Roman"/>
                <w:b/>
                <w:bCs/>
                <w:color w:val="auto"/>
                <w:sz w:val="21"/>
                <w:szCs w:val="21"/>
              </w:rPr>
              <w:t>（含临时场所）</w:t>
            </w:r>
          </w:p>
        </w:tc>
        <w:tc>
          <w:tcPr>
            <w:tcW w:w="5985" w:type="dxa"/>
          </w:tcPr>
          <w:p>
            <w:pPr>
              <w:rPr>
                <w:rFonts w:hint="eastAsia" w:ascii="宋体" w:hAnsi="宋体" w:eastAsia="宋体" w:cs="新宋体"/>
                <w:color w:val="auto"/>
                <w:sz w:val="18"/>
                <w:szCs w:val="18"/>
                <w:lang w:eastAsia="zh-CN"/>
              </w:rPr>
            </w:pPr>
            <w:r>
              <w:rPr>
                <w:rFonts w:hint="eastAsia" w:ascii="宋体" w:hAnsi="宋体" w:cs="新宋体"/>
                <w:color w:val="auto"/>
                <w:sz w:val="18"/>
                <w:szCs w:val="18"/>
              </w:rPr>
              <w:t>EMS-2015</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5.3组织的角色、职责和权限、6.2目标及其达成的策划；</w:t>
            </w:r>
            <w:r>
              <w:rPr>
                <w:rFonts w:hint="eastAsia" w:ascii="宋体" w:hAnsi="宋体" w:eastAsia="宋体" w:cs="新宋体"/>
                <w:color w:val="auto"/>
                <w:sz w:val="18"/>
                <w:szCs w:val="18"/>
              </w:rPr>
              <w:t>7.4信息和沟通；</w:t>
            </w:r>
          </w:p>
          <w:p>
            <w:pPr>
              <w:snapToGrid w:val="0"/>
              <w:spacing w:line="240" w:lineRule="exact"/>
              <w:rPr>
                <w:rFonts w:hint="eastAsia" w:ascii="宋体" w:hAnsi="宋体" w:eastAsia="宋体" w:cs="新宋体"/>
                <w:color w:val="auto"/>
                <w:sz w:val="18"/>
                <w:szCs w:val="18"/>
                <w:lang w:eastAsia="zh-CN"/>
              </w:rPr>
            </w:pPr>
            <w:r>
              <w:rPr>
                <w:rFonts w:hint="eastAsia" w:ascii="宋体" w:hAnsi="宋体" w:cs="新宋体"/>
                <w:color w:val="auto"/>
                <w:sz w:val="18"/>
                <w:szCs w:val="18"/>
              </w:rPr>
              <w:t>ISO45001：2018</w:t>
            </w:r>
          </w:p>
          <w:p>
            <w:pPr>
              <w:widowControl/>
              <w:jc w:val="left"/>
              <w:rPr>
                <w:rFonts w:ascii="宋体" w:hAnsi="宋体" w:cs="新宋体"/>
                <w:color w:val="auto"/>
                <w:sz w:val="18"/>
                <w:szCs w:val="18"/>
              </w:rPr>
            </w:pPr>
            <w:r>
              <w:rPr>
                <w:rFonts w:hint="eastAsia" w:ascii="宋体" w:hAnsi="宋体" w:eastAsia="宋体" w:cs="新宋体"/>
                <w:color w:val="auto"/>
                <w:sz w:val="18"/>
                <w:szCs w:val="18"/>
              </w:rPr>
              <w:t>5.3组织的角色、职责和权限；6.2目标及其实现的策划；7.4信息和沟通；</w:t>
            </w:r>
          </w:p>
        </w:tc>
        <w:tc>
          <w:tcPr>
            <w:tcW w:w="1065" w:type="dxa"/>
            <w:tcBorders>
              <w:right w:val="single" w:color="auto" w:sz="8" w:space="0"/>
            </w:tcBorders>
          </w:tcPr>
          <w:p>
            <w:pPr>
              <w:snapToGrid w:val="0"/>
              <w:spacing w:line="320" w:lineRule="exact"/>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color w:val="auto"/>
                <w:sz w:val="21"/>
                <w:szCs w:val="21"/>
              </w:rPr>
            </w:pPr>
          </w:p>
        </w:tc>
        <w:tc>
          <w:tcPr>
            <w:tcW w:w="1401" w:type="dxa"/>
          </w:tcPr>
          <w:p>
            <w:pPr>
              <w:snapToGrid w:val="0"/>
              <w:spacing w:line="320" w:lineRule="exact"/>
              <w:rPr>
                <w:rFonts w:ascii="宋体" w:hAnsi="宋体"/>
                <w:b/>
                <w:bCs/>
                <w:color w:val="auto"/>
                <w:sz w:val="21"/>
                <w:szCs w:val="21"/>
              </w:rPr>
            </w:pPr>
            <w:r>
              <w:rPr>
                <w:rFonts w:hint="eastAsia" w:ascii="宋体" w:hAnsi="宋体"/>
                <w:b/>
                <w:bCs/>
                <w:color w:val="auto"/>
                <w:sz w:val="21"/>
                <w:szCs w:val="21"/>
              </w:rPr>
              <w:t>1</w:t>
            </w:r>
            <w:r>
              <w:rPr>
                <w:rFonts w:hint="eastAsia" w:ascii="宋体" w:hAnsi="宋体"/>
                <w:b/>
                <w:bCs/>
                <w:color w:val="auto"/>
                <w:sz w:val="21"/>
                <w:szCs w:val="21"/>
                <w:lang w:val="en-US" w:eastAsia="zh-CN"/>
              </w:rPr>
              <w:t>7</w:t>
            </w:r>
            <w:r>
              <w:rPr>
                <w:rFonts w:hint="eastAsia" w:ascii="宋体" w:hAnsi="宋体"/>
                <w:b/>
                <w:bCs/>
                <w:color w:val="auto"/>
                <w:sz w:val="21"/>
                <w:szCs w:val="21"/>
              </w:rPr>
              <w:t>:</w:t>
            </w:r>
            <w:r>
              <w:rPr>
                <w:rFonts w:hint="eastAsia" w:ascii="宋体" w:hAnsi="宋体"/>
                <w:b/>
                <w:bCs/>
                <w:color w:val="auto"/>
                <w:sz w:val="21"/>
                <w:szCs w:val="21"/>
                <w:lang w:val="en-US" w:eastAsia="zh-CN"/>
              </w:rPr>
              <w:t>3</w:t>
            </w:r>
            <w:r>
              <w:rPr>
                <w:rFonts w:hint="eastAsia" w:ascii="宋体" w:hAnsi="宋体"/>
                <w:b/>
                <w:bCs/>
                <w:color w:val="auto"/>
                <w:sz w:val="21"/>
                <w:szCs w:val="21"/>
              </w:rPr>
              <w:t>0-1</w:t>
            </w:r>
            <w:r>
              <w:rPr>
                <w:rFonts w:hint="eastAsia" w:ascii="宋体" w:hAnsi="宋体"/>
                <w:b/>
                <w:bCs/>
                <w:color w:val="auto"/>
                <w:sz w:val="21"/>
                <w:szCs w:val="21"/>
                <w:lang w:val="en-US" w:eastAsia="zh-CN"/>
              </w:rPr>
              <w:t>8</w:t>
            </w:r>
            <w:r>
              <w:rPr>
                <w:rFonts w:hint="eastAsia" w:ascii="宋体" w:hAnsi="宋体"/>
                <w:b/>
                <w:bCs/>
                <w:color w:val="auto"/>
                <w:sz w:val="21"/>
                <w:szCs w:val="21"/>
              </w:rPr>
              <w:t>:</w:t>
            </w:r>
            <w:r>
              <w:rPr>
                <w:rFonts w:hint="eastAsia" w:ascii="宋体" w:hAnsi="宋体"/>
                <w:b/>
                <w:bCs/>
                <w:color w:val="auto"/>
                <w:sz w:val="21"/>
                <w:szCs w:val="21"/>
                <w:lang w:val="en-US" w:eastAsia="zh-CN"/>
              </w:rPr>
              <w:t>0</w:t>
            </w:r>
            <w:bookmarkStart w:id="32" w:name="_GoBack"/>
            <w:bookmarkEnd w:id="32"/>
            <w:r>
              <w:rPr>
                <w:rFonts w:hint="eastAsia" w:ascii="宋体" w:hAnsi="宋体"/>
                <w:b/>
                <w:bCs/>
                <w:color w:val="auto"/>
                <w:sz w:val="21"/>
                <w:szCs w:val="21"/>
              </w:rPr>
              <w:t>0</w:t>
            </w:r>
          </w:p>
        </w:tc>
        <w:tc>
          <w:tcPr>
            <w:tcW w:w="6900" w:type="dxa"/>
            <w:gridSpan w:val="2"/>
            <w:vAlign w:val="center"/>
          </w:tcPr>
          <w:p>
            <w:pPr>
              <w:snapToGrid w:val="0"/>
              <w:spacing w:line="240" w:lineRule="exact"/>
              <w:rPr>
                <w:rFonts w:hint="eastAsia" w:ascii="宋体" w:hAnsi="宋体" w:eastAsia="宋体" w:cs="新宋体"/>
                <w:color w:val="auto"/>
                <w:sz w:val="18"/>
                <w:szCs w:val="18"/>
                <w:lang w:eastAsia="zh-CN"/>
              </w:rPr>
            </w:pPr>
            <w:r>
              <w:rPr>
                <w:rFonts w:hint="eastAsia" w:ascii="宋体" w:hAnsi="宋体" w:cs="新宋体"/>
                <w:color w:val="auto"/>
                <w:sz w:val="21"/>
                <w:szCs w:val="21"/>
              </w:rPr>
              <w:t>审核组内部沟通,并与受审核方沟通</w:t>
            </w:r>
            <w:r>
              <w:rPr>
                <w:rFonts w:hint="eastAsia" w:ascii="宋体" w:hAnsi="宋体" w:cs="新宋体"/>
                <w:color w:val="auto"/>
                <w:sz w:val="21"/>
                <w:szCs w:val="21"/>
                <w:lang w:eastAsia="zh-CN"/>
              </w:rPr>
              <w:t>、</w:t>
            </w:r>
            <w:r>
              <w:rPr>
                <w:rFonts w:hint="eastAsia" w:ascii="宋体" w:hAnsi="宋体" w:cs="新宋体"/>
                <w:color w:val="auto"/>
                <w:sz w:val="21"/>
                <w:szCs w:val="21"/>
              </w:rPr>
              <w:t>末次会议</w:t>
            </w:r>
          </w:p>
        </w:tc>
        <w:tc>
          <w:tcPr>
            <w:tcW w:w="1065" w:type="dxa"/>
            <w:tcBorders>
              <w:right w:val="single" w:color="auto" w:sz="8" w:space="0"/>
            </w:tcBorders>
          </w:tcPr>
          <w:p>
            <w:pPr>
              <w:snapToGrid w:val="0"/>
              <w:spacing w:line="320" w:lineRule="exact"/>
              <w:rPr>
                <w:rFonts w:hint="default" w:ascii="宋体" w:hAnsi="宋体"/>
                <w:b/>
                <w:bCs/>
                <w:color w:val="auto"/>
                <w:sz w:val="21"/>
                <w:szCs w:val="21"/>
                <w:lang w:val="en-US"/>
              </w:rPr>
            </w:pPr>
            <w:r>
              <w:rPr>
                <w:rFonts w:hint="eastAsia" w:ascii="宋体" w:hAnsi="宋体"/>
                <w:b/>
                <w:bCs/>
                <w:color w:val="auto"/>
                <w:sz w:val="18"/>
                <w:szCs w:val="18"/>
                <w:lang w:val="en-US" w:eastAsia="zh-CN"/>
              </w:rPr>
              <w:t>全体人员</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4"/>
        <w:rFonts w:hint="default"/>
        <w:w w:val="90"/>
      </w:rPr>
    </w:pP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4904B3"/>
    <w:rsid w:val="2E526A38"/>
    <w:rsid w:val="40C72245"/>
    <w:rsid w:val="4B5B36F5"/>
    <w:rsid w:val="576753E7"/>
    <w:rsid w:val="78C52E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qFormat/>
    <w:uiPriority w:val="0"/>
    <w:pPr>
      <w:spacing w:before="25" w:after="25"/>
    </w:pPr>
    <w:rPr>
      <w:bCs/>
      <w:spacing w:val="1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8</TotalTime>
  <ScaleCrop>false</ScaleCrop>
  <LinksUpToDate>false</LinksUpToDate>
  <CharactersWithSpaces>5336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小冉</cp:lastModifiedBy>
  <cp:lastPrinted>2021-11-01T01:32:28Z</cp:lastPrinted>
  <dcterms:modified xsi:type="dcterms:W3CDTF">2021-11-01T07:23:19Z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2052-11.1.0.11045</vt:lpwstr>
  </property>
</Properties>
</file>