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1106-2021-QEO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福建省喜浪农业科技发展有限公司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福建省喜浪农业科技发展有限公司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福建省龙岩市武平县工业园区腾工路1号</w:t>
            </w:r>
            <w:bookmarkEnd w:id="6"/>
          </w:p>
        </w:tc>
        <w:tc>
          <w:tcPr>
            <w:tcW w:w="1242" w:type="dxa"/>
            <w:vMerge w:val="restart"/>
            <w:vAlign w:val="center"/>
          </w:tcPr>
          <w:p>
            <w:r>
              <w:rPr>
                <w:rFonts w:hint="eastAsia"/>
              </w:rPr>
              <w:t>邮编</w:t>
            </w:r>
          </w:p>
        </w:tc>
        <w:tc>
          <w:tcPr>
            <w:tcW w:w="1771" w:type="dxa"/>
          </w:tcPr>
          <w:p>
            <w:bookmarkStart w:id="7" w:name="注册邮编"/>
            <w:r>
              <w:t>364000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福建省龙岩市武平县工业园区腾工路1号</w:t>
            </w:r>
            <w:bookmarkEnd w:id="8"/>
          </w:p>
        </w:tc>
        <w:tc>
          <w:tcPr>
            <w:tcW w:w="1242" w:type="dxa"/>
            <w:vMerge w:val="continue"/>
            <w:vAlign w:val="center"/>
          </w:tcPr>
          <w:p/>
        </w:tc>
        <w:tc>
          <w:tcPr>
            <w:tcW w:w="1771" w:type="dxa"/>
          </w:tcPr>
          <w:p>
            <w:bookmarkStart w:id="9" w:name="办公邮编"/>
            <w:r>
              <w:t>364000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温晓丽</w:t>
            </w:r>
            <w:bookmarkEnd w:id="10"/>
          </w:p>
        </w:tc>
        <w:tc>
          <w:tcPr>
            <w:tcW w:w="1313" w:type="dxa"/>
            <w:vAlign w:val="center"/>
          </w:tcPr>
          <w:p>
            <w:r>
              <w:rPr>
                <w:rFonts w:hint="eastAsia"/>
              </w:rPr>
              <w:t>电话.</w:t>
            </w:r>
          </w:p>
        </w:tc>
        <w:tc>
          <w:tcPr>
            <w:tcW w:w="2180" w:type="dxa"/>
            <w:vAlign w:val="center"/>
          </w:tcPr>
          <w:p>
            <w:bookmarkStart w:id="11" w:name="联系人电话"/>
            <w:r>
              <w:t>13906975923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钟林添</w:t>
            </w:r>
            <w:bookmarkEnd w:id="13"/>
          </w:p>
        </w:tc>
        <w:tc>
          <w:tcPr>
            <w:tcW w:w="1313" w:type="dxa"/>
            <w:vAlign w:val="center"/>
          </w:tcPr>
          <w:p>
            <w:r>
              <w:rPr>
                <w:rFonts w:hint="eastAsia"/>
              </w:rPr>
              <w:t>管理者代表</w:t>
            </w:r>
          </w:p>
        </w:tc>
        <w:tc>
          <w:tcPr>
            <w:tcW w:w="2180" w:type="dxa"/>
          </w:tcPr>
          <w:p>
            <w:bookmarkStart w:id="14" w:name="管理者代表"/>
            <w:r>
              <w:t>温晓丽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sz w:val="24"/>
                <w:szCs w:val="24"/>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392170" cy="2710815"/>
                  <wp:effectExtent l="0" t="0" r="17780" b="1333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3392170" cy="2710815"/>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2021年11月21日 上午至2021年11月23日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03" w:hRule="exact"/>
        </w:trPr>
        <w:tc>
          <w:tcPr>
            <w:tcW w:w="1632" w:type="dxa"/>
            <w:gridSpan w:val="2"/>
          </w:tcPr>
          <w:p>
            <w:r>
              <w:rPr>
                <w:rFonts w:hint="eastAsia"/>
              </w:rPr>
              <w:t>审核目的</w:t>
            </w:r>
          </w:p>
        </w:tc>
        <w:tc>
          <w:tcPr>
            <w:tcW w:w="7831" w:type="dxa"/>
            <w:gridSpan w:val="3"/>
            <w:tcMar>
              <w:left w:w="113" w:type="dxa"/>
            </w:tcMar>
          </w:tcPr>
          <w:p>
            <w:pPr>
              <w:keepNext w:val="0"/>
              <w:keepLines w:val="0"/>
              <w:pageBreakBefore w:val="0"/>
              <w:widowControl w:val="0"/>
              <w:kinsoku/>
              <w:wordWrap/>
              <w:overflowPunct/>
              <w:topLinePunct w:val="0"/>
              <w:autoSpaceDE/>
              <w:autoSpaceDN/>
              <w:bidi w:val="0"/>
              <w:adjustRightInd/>
              <w:snapToGrid/>
              <w:spacing w:line="220" w:lineRule="exact"/>
              <w:textAlignment w:val="auto"/>
            </w:pPr>
            <w:bookmarkStart w:id="16" w:name="初审"/>
            <w:r>
              <w:rPr>
                <w:rFonts w:hint="eastAsia"/>
              </w:rPr>
              <w:t>■</w:t>
            </w:r>
            <w:bookmarkEnd w:id="16"/>
            <w:r>
              <w:rPr>
                <w:rFonts w:hint="eastAsia"/>
              </w:rPr>
              <w:t>初审二阶段：评价组织管理体系建立、实施运行的符合性及有效性，以确定是否推荐认证注册。</w:t>
            </w:r>
          </w:p>
          <w:p>
            <w:pPr>
              <w:keepNext w:val="0"/>
              <w:keepLines w:val="0"/>
              <w:pageBreakBefore w:val="0"/>
              <w:widowControl w:val="0"/>
              <w:kinsoku/>
              <w:wordWrap/>
              <w:overflowPunct/>
              <w:topLinePunct w:val="0"/>
              <w:autoSpaceDE/>
              <w:autoSpaceDN/>
              <w:bidi w:val="0"/>
              <w:adjustRightInd/>
              <w:snapToGrid/>
              <w:spacing w:line="220" w:lineRule="exact"/>
              <w:textAlignment w:val="auto"/>
            </w:pPr>
            <w:bookmarkStart w:id="17" w:name="监督勾选"/>
            <w:r>
              <w:rPr>
                <w:rFonts w:hint="eastAsia"/>
              </w:rPr>
              <w:t>□</w:t>
            </w:r>
            <w:bookmarkEnd w:id="17"/>
            <w:r>
              <w:rPr>
                <w:rFonts w:hint="eastAsia"/>
              </w:rPr>
              <w:t>监督审核：评价组织管理体系的持续符合性和有效性，以确定是否推荐保持认证证书。</w:t>
            </w:r>
          </w:p>
          <w:p>
            <w:pPr>
              <w:keepNext w:val="0"/>
              <w:keepLines w:val="0"/>
              <w:pageBreakBefore w:val="0"/>
              <w:widowControl w:val="0"/>
              <w:kinsoku/>
              <w:wordWrap/>
              <w:overflowPunct/>
              <w:topLinePunct w:val="0"/>
              <w:autoSpaceDE/>
              <w:autoSpaceDN/>
              <w:bidi w:val="0"/>
              <w:adjustRightInd/>
              <w:snapToGrid/>
              <w:spacing w:line="220" w:lineRule="exact"/>
              <w:textAlignment w:val="auto"/>
            </w:pPr>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pPr>
              <w:keepNext w:val="0"/>
              <w:keepLines w:val="0"/>
              <w:pageBreakBefore w:val="0"/>
              <w:widowControl w:val="0"/>
              <w:kinsoku/>
              <w:wordWrap/>
              <w:overflowPunct/>
              <w:topLinePunct w:val="0"/>
              <w:autoSpaceDE/>
              <w:autoSpaceDN/>
              <w:bidi w:val="0"/>
              <w:adjustRightInd/>
              <w:snapToGrid/>
              <w:spacing w:line="220" w:lineRule="exact"/>
              <w:textAlignment w:val="auto"/>
            </w:pPr>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福建省龙岩市武平县工业园区腾工路1号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rPr>
              <w:t>■</w:t>
            </w:r>
            <w:r>
              <w:rPr>
                <w:rFonts w:hint="eastAsia" w:ascii="宋体"/>
                <w:b/>
                <w:color w:val="0000FF"/>
                <w:szCs w:val="21"/>
              </w:rPr>
              <w:t>视频</w:t>
            </w:r>
            <w:r>
              <w:rPr>
                <w:rFonts w:hint="eastAsia"/>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w:t>
            </w:r>
            <w:r>
              <w:rPr>
                <w:rFonts w:hint="eastAsia"/>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Q：大米的加工、销售</w:t>
            </w:r>
          </w:p>
          <w:p>
            <w:r>
              <w:t>E：大米的加工、销售所涉及场所的相关环境管理活动</w:t>
            </w:r>
          </w:p>
          <w:p>
            <w:r>
              <w:t>O：大米的加工、销售所涉及场所的相关职业健康安全管理活动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Q：03.06.01</w:t>
            </w:r>
          </w:p>
          <w:p>
            <w:r>
              <w:t>E：03.06.01</w:t>
            </w:r>
          </w:p>
          <w:p>
            <w:r>
              <w:t>O：03.06.01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1005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45"/>
        <w:gridCol w:w="1800"/>
        <w:gridCol w:w="588"/>
        <w:gridCol w:w="2275"/>
        <w:gridCol w:w="2112"/>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45" w:type="dxa"/>
            <w:shd w:val="clear" w:color="auto" w:fill="F3F3F3"/>
            <w:tcMar>
              <w:left w:w="57" w:type="dxa"/>
              <w:right w:w="57" w:type="dxa"/>
            </w:tcMar>
          </w:tcPr>
          <w:p>
            <w:r>
              <w:rPr>
                <w:rFonts w:hint="eastAsia"/>
              </w:rPr>
              <w:t>组织名称及注册场所地址</w:t>
            </w:r>
          </w:p>
        </w:tc>
        <w:tc>
          <w:tcPr>
            <w:tcW w:w="1800" w:type="dxa"/>
            <w:shd w:val="clear" w:color="auto" w:fill="F3F3F3"/>
            <w:tcMar>
              <w:left w:w="57" w:type="dxa"/>
              <w:right w:w="57" w:type="dxa"/>
            </w:tcMar>
          </w:tcPr>
          <w:p>
            <w:r>
              <w:rPr>
                <w:rFonts w:hint="eastAsia"/>
              </w:rPr>
              <w:t>经营场所的地址</w:t>
            </w:r>
          </w:p>
          <w:p>
            <w:r>
              <w:rPr>
                <w:rFonts w:hint="eastAsia"/>
              </w:rPr>
              <w:t>（多现场和临时现场）</w:t>
            </w:r>
          </w:p>
        </w:tc>
        <w:tc>
          <w:tcPr>
            <w:tcW w:w="588" w:type="dxa"/>
            <w:shd w:val="clear" w:color="auto" w:fill="F3F3F3"/>
            <w:tcMar>
              <w:left w:w="57" w:type="dxa"/>
              <w:right w:w="57" w:type="dxa"/>
            </w:tcMar>
          </w:tcPr>
          <w:p>
            <w:r>
              <w:rPr>
                <w:rFonts w:hint="eastAsia"/>
              </w:rPr>
              <w:t>员工人数</w:t>
            </w:r>
          </w:p>
        </w:tc>
        <w:tc>
          <w:tcPr>
            <w:tcW w:w="2275" w:type="dxa"/>
            <w:shd w:val="clear" w:color="auto" w:fill="F3F3F3"/>
            <w:tcMar>
              <w:left w:w="57" w:type="dxa"/>
              <w:right w:w="57" w:type="dxa"/>
            </w:tcMar>
          </w:tcPr>
          <w:p>
            <w:r>
              <w:rPr>
                <w:rFonts w:hint="eastAsia"/>
              </w:rPr>
              <w:t>审核范围（产品和过程）</w:t>
            </w:r>
          </w:p>
          <w:p/>
          <w:p/>
        </w:tc>
        <w:tc>
          <w:tcPr>
            <w:tcW w:w="2112" w:type="dxa"/>
            <w:shd w:val="clear" w:color="auto" w:fill="F3F3F3"/>
            <w:tcMar>
              <w:left w:w="57" w:type="dxa"/>
              <w:right w:w="57" w:type="dxa"/>
            </w:tcMar>
          </w:tcPr>
          <w:p>
            <w:r>
              <w:rPr>
                <w:rFonts w:hint="eastAsia"/>
              </w:rPr>
              <w:t>标准</w:t>
            </w:r>
          </w:p>
        </w:tc>
        <w:tc>
          <w:tcPr>
            <w:tcW w:w="68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2" w:hRule="atLeast"/>
        </w:trPr>
        <w:tc>
          <w:tcPr>
            <w:tcW w:w="647" w:type="dxa"/>
            <w:vAlign w:val="center"/>
          </w:tcPr>
          <w:p>
            <w:pPr>
              <w:rPr>
                <w:lang w:eastAsia="ja-JP"/>
              </w:rPr>
            </w:pPr>
            <w:r>
              <w:rPr>
                <w:rFonts w:hint="eastAsia"/>
                <w:lang w:eastAsia="ja-JP"/>
              </w:rPr>
              <w:t>01</w:t>
            </w:r>
          </w:p>
        </w:tc>
        <w:tc>
          <w:tcPr>
            <w:tcW w:w="1945" w:type="dxa"/>
          </w:tcPr>
          <w:p>
            <w:r>
              <w:t>福建省喜浪农业科技发展有限公司</w:t>
            </w:r>
          </w:p>
          <w:p>
            <w:pPr>
              <w:pStyle w:val="13"/>
            </w:pPr>
            <w:r>
              <w:t>福建省龙岩市武平县工业园区腾工路1号</w:t>
            </w:r>
          </w:p>
          <w:p>
            <w:pPr>
              <w:pStyle w:val="13"/>
              <w:rPr>
                <w:lang w:val="de-DE" w:eastAsia="ja-JP"/>
              </w:rPr>
            </w:pPr>
          </w:p>
        </w:tc>
        <w:tc>
          <w:tcPr>
            <w:tcW w:w="1800" w:type="dxa"/>
          </w:tcPr>
          <w:p>
            <w:pPr>
              <w:rPr>
                <w:lang w:val="de-DE" w:eastAsia="ja-JP"/>
              </w:rPr>
            </w:pPr>
            <w:r>
              <w:t>福建省龙岩市武平县工业园区腾工路1号</w:t>
            </w:r>
          </w:p>
        </w:tc>
        <w:tc>
          <w:tcPr>
            <w:tcW w:w="588" w:type="dxa"/>
            <w:vAlign w:val="center"/>
          </w:tcPr>
          <w:p>
            <w:pPr>
              <w:rPr>
                <w:rFonts w:hint="default" w:eastAsia="宋体"/>
                <w:lang w:val="en-US" w:eastAsia="zh-CN"/>
              </w:rPr>
            </w:pPr>
            <w:r>
              <w:rPr>
                <w:rFonts w:hint="eastAsia"/>
                <w:lang w:val="en-US" w:eastAsia="zh-CN"/>
              </w:rPr>
              <w:t>40</w:t>
            </w:r>
          </w:p>
        </w:tc>
        <w:tc>
          <w:tcPr>
            <w:tcW w:w="2275" w:type="dxa"/>
            <w:vAlign w:val="center"/>
          </w:tcPr>
          <w:p>
            <w:r>
              <w:t>Q：大米的加工、销售</w:t>
            </w:r>
          </w:p>
          <w:p>
            <w:r>
              <w:t>E：大米的加工、销售所涉及场所的相关环境管理活动</w:t>
            </w:r>
          </w:p>
          <w:p>
            <w:pPr>
              <w:rPr>
                <w:lang w:eastAsia="ja-JP"/>
              </w:rPr>
            </w:pPr>
            <w:r>
              <w:t>O：大米的加工、销售所涉及场所的相关职业健康安全管理活动</w:t>
            </w:r>
          </w:p>
        </w:tc>
        <w:tc>
          <w:tcPr>
            <w:tcW w:w="2112"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eastAsia="ja-JP"/>
              </w:rPr>
            </w:pPr>
            <w:r>
              <w:rPr>
                <w:rFonts w:hint="eastAsia"/>
                <w:lang w:val="de-DE"/>
              </w:rPr>
              <w:t>■</w:t>
            </w:r>
            <w:r>
              <w:rPr>
                <w:rFonts w:hint="eastAsia"/>
              </w:rPr>
              <w:t>GB/T45001-2020/</w:t>
            </w:r>
            <w:r>
              <w:rPr>
                <w:rFonts w:hint="eastAsia"/>
                <w:lang w:val="de-DE"/>
              </w:rPr>
              <w:t>ISO45001：2018</w:t>
            </w:r>
          </w:p>
        </w:tc>
        <w:tc>
          <w:tcPr>
            <w:tcW w:w="688" w:type="dxa"/>
            <w:shd w:val="clear" w:color="auto" w:fill="FFFFFF"/>
          </w:tcPr>
          <w:p>
            <w:r>
              <w:rPr>
                <w:rFonts w:hint="eastAsia"/>
                <w:lang w:val="de-DE"/>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p>
            <w:r>
              <w:t>2021-N1EMS-4043149</w:t>
            </w:r>
          </w:p>
          <w:p>
            <w:r>
              <w:t>2020-N1OHSMS-3043149</w:t>
            </w:r>
          </w:p>
        </w:tc>
        <w:tc>
          <w:tcPr>
            <w:tcW w:w="2179" w:type="dxa"/>
            <w:vAlign w:val="center"/>
          </w:tcPr>
          <w:p>
            <w:r>
              <w:t>Q:03.06.01</w:t>
            </w:r>
          </w:p>
          <w:p>
            <w:r>
              <w:t>E:03.06.01</w:t>
            </w:r>
          </w:p>
          <w:p>
            <w:r>
              <w:t>O:03.06.01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组员</w:t>
            </w:r>
          </w:p>
        </w:tc>
        <w:tc>
          <w:tcPr>
            <w:tcW w:w="711" w:type="dxa"/>
            <w:vAlign w:val="center"/>
          </w:tcPr>
          <w:p>
            <w:r>
              <w:t>女</w:t>
            </w:r>
          </w:p>
        </w:tc>
        <w:tc>
          <w:tcPr>
            <w:tcW w:w="3870" w:type="dxa"/>
            <w:vAlign w:val="center"/>
          </w:tcPr>
          <w:p>
            <w:r>
              <w:t>2020-N1QMS-1232380</w:t>
            </w:r>
          </w:p>
          <w:p>
            <w:r>
              <w:t>2021-N1EMS-1232380</w:t>
            </w:r>
          </w:p>
          <w:p>
            <w:r>
              <w:t>2021-N0OHSMS-1232380</w:t>
            </w:r>
          </w:p>
        </w:tc>
        <w:tc>
          <w:tcPr>
            <w:tcW w:w="2179" w:type="dxa"/>
            <w:vAlign w:val="center"/>
          </w:tcPr>
          <w:p>
            <w:r>
              <w:t>Q:03.06.01</w:t>
            </w:r>
          </w:p>
          <w:p>
            <w:r>
              <w:t>E:03.06.01</w:t>
            </w:r>
          </w:p>
          <w:p>
            <w:r>
              <w:t>O:03.06.01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组员</w:t>
            </w:r>
          </w:p>
        </w:tc>
        <w:tc>
          <w:tcPr>
            <w:tcW w:w="711" w:type="dxa"/>
            <w:vAlign w:val="center"/>
          </w:tcPr>
          <w:p>
            <w:r>
              <w:t>女</w:t>
            </w:r>
          </w:p>
        </w:tc>
        <w:tc>
          <w:tcPr>
            <w:tcW w:w="3870" w:type="dxa"/>
            <w:vAlign w:val="center"/>
          </w:tcPr>
          <w:p>
            <w:r>
              <w:t>2021-N0EMS-1226516</w:t>
            </w:r>
          </w:p>
          <w:p>
            <w:r>
              <w:t>2021-N0OHSMS-1226516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w:t>
      </w:r>
      <w:r>
        <w:rPr>
          <w:rFonts w:hint="eastAsia"/>
          <w:lang w:val="de-DE"/>
        </w:rPr>
        <w:t>■</w:t>
      </w:r>
      <w:r>
        <w:rPr>
          <w:rFonts w:hint="eastAsia"/>
        </w:rPr>
        <w:t>EMS</w:t>
      </w:r>
      <w:r>
        <w:rPr>
          <w:rFonts w:hint="eastAsia"/>
          <w:lang w:val="de-DE"/>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不适用</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bl>
    <w:p>
      <w:pPr>
        <w:ind w:firstLine="210" w:firstLineChars="100"/>
        <w:rPr>
          <w:rFonts w:hint="eastAsia"/>
        </w:rPr>
      </w:pPr>
    </w:p>
    <w:p>
      <w:pPr>
        <w:ind w:firstLine="210" w:firstLineChars="100"/>
        <w:rPr>
          <w:rFonts w:hint="eastAsia"/>
        </w:rPr>
      </w:pPr>
    </w:p>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numPr>
          <w:ilvl w:val="0"/>
          <w:numId w:val="2"/>
        </w:numPr>
        <w:rPr>
          <w:rFonts w:hint="eastAsia"/>
        </w:rPr>
      </w:pPr>
      <w:r>
        <w:rPr>
          <w:rFonts w:hint="eastAsia"/>
        </w:rPr>
        <w:t>审核组推荐意见:</w:t>
      </w:r>
    </w:p>
    <w:p>
      <w:pPr>
        <w:pStyle w:val="13"/>
        <w:numPr>
          <w:ilvl w:val="0"/>
          <w:numId w:val="0"/>
        </w:numPr>
      </w:pP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30" w:type="dxa"/>
            <w:vMerge w:val="continue"/>
            <w:shd w:val="clear" w:color="auto" w:fill="auto"/>
          </w:tcPr>
          <w:p/>
        </w:tc>
        <w:tc>
          <w:tcPr>
            <w:tcW w:w="97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QMS</w:t>
            </w:r>
          </w:p>
        </w:tc>
        <w:tc>
          <w:tcPr>
            <w:tcW w:w="7380" w:type="dxa"/>
            <w:shd w:val="clear" w:color="auto" w:fill="auto"/>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0" w:type="dxa"/>
            <w:vMerge w:val="continue"/>
            <w:shd w:val="clear" w:color="auto" w:fill="auto"/>
          </w:tcPr>
          <w:p/>
        </w:tc>
        <w:tc>
          <w:tcPr>
            <w:tcW w:w="97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EcMS</w:t>
            </w:r>
          </w:p>
        </w:tc>
        <w:tc>
          <w:tcPr>
            <w:tcW w:w="7380" w:type="dxa"/>
            <w:shd w:val="clear" w:color="auto" w:fill="auto"/>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30" w:type="dxa"/>
            <w:vMerge w:val="continue"/>
            <w:shd w:val="clear" w:color="auto" w:fill="auto"/>
          </w:tcPr>
          <w:p/>
        </w:tc>
        <w:tc>
          <w:tcPr>
            <w:tcW w:w="97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EMS</w:t>
            </w:r>
          </w:p>
        </w:tc>
        <w:tc>
          <w:tcPr>
            <w:tcW w:w="7380" w:type="dxa"/>
            <w:shd w:val="clear" w:color="auto" w:fill="auto"/>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30" w:type="dxa"/>
            <w:vMerge w:val="continue"/>
            <w:shd w:val="clear" w:color="auto" w:fill="auto"/>
          </w:tcPr>
          <w:p/>
        </w:tc>
        <w:tc>
          <w:tcPr>
            <w:tcW w:w="97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OHSMS</w:t>
            </w:r>
          </w:p>
        </w:tc>
        <w:tc>
          <w:tcPr>
            <w:tcW w:w="7380" w:type="dxa"/>
            <w:shd w:val="clear" w:color="auto" w:fill="auto"/>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在完成纠正措施后推荐认证注册(</w:t>
            </w:r>
            <w:r>
              <w:rPr>
                <w:rFonts w:hint="eastAsia"/>
                <w:lang w:val="de-DE"/>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9"/>
        <w:tblpPr w:leftFromText="180" w:rightFromText="180" w:vertAnchor="text" w:horzAnchor="page" w:tblpX="1046" w:tblpY="556"/>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4" w:hRule="exact"/>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5" w:hRule="exact"/>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exact"/>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1020445" cy="240665"/>
                  <wp:effectExtent l="0" t="0" r="8255" b="6985"/>
                  <wp:docPr id="1" name="图片 1" descr="30da8f5eed0ab597f545db738977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da8f5eed0ab597f545db73897714e"/>
                          <pic:cNvPicPr>
                            <a:picLocks noChangeAspect="1"/>
                          </pic:cNvPicPr>
                        </pic:nvPicPr>
                        <pic:blipFill>
                          <a:blip r:embed="rId7"/>
                          <a:stretch>
                            <a:fillRect/>
                          </a:stretch>
                        </pic:blipFill>
                        <pic:spPr>
                          <a:xfrm>
                            <a:off x="0" y="0"/>
                            <a:ext cx="1020445" cy="240665"/>
                          </a:xfrm>
                          <a:prstGeom prst="rect">
                            <a:avLst/>
                          </a:prstGeom>
                        </pic:spPr>
                      </pic:pic>
                    </a:graphicData>
                  </a:graphic>
                </wp:inline>
              </w:drawing>
            </w:r>
          </w:p>
          <w:p>
            <w:pPr>
              <w:rPr>
                <w:rFonts w:hint="eastAsia" w:eastAsia="宋体"/>
                <w:lang w:eastAsia="zh-CN"/>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2021.11.26</w:t>
            </w:r>
            <w:bookmarkStart w:id="34" w:name="_GoBack"/>
            <w:bookmarkEnd w:id="3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060"/>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审核周期</w:t>
            </w:r>
          </w:p>
        </w:tc>
        <w:tc>
          <w:tcPr>
            <w:tcW w:w="8902"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体系要素</w:t>
            </w:r>
          </w:p>
        </w:tc>
        <w:tc>
          <w:tcPr>
            <w:tcW w:w="8902"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restart"/>
            <w:shd w:val="clear" w:color="auto" w:fill="C7DAF1" w:themeFill="text2" w:themeFillTint="32"/>
          </w:tcPr>
          <w:p>
            <w:pPr>
              <w:shd w:val="clear" w:color="auto" w:fill="C7DAF1" w:themeFill="text2" w:themeFillTint="32"/>
            </w:pPr>
            <w:r>
              <w:rPr>
                <w:rFonts w:hint="eastAsia"/>
              </w:rPr>
              <w:t>组织环境</w:t>
            </w:r>
          </w:p>
        </w:tc>
        <w:tc>
          <w:tcPr>
            <w:tcW w:w="8902"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■绩效 ■工艺 ■设备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w:t>
            </w:r>
            <w:r>
              <w:rPr>
                <w:rFonts w:hint="eastAsia"/>
                <w:lang w:val="en-US" w:eastAsia="zh-CN"/>
              </w:rPr>
              <w:t xml:space="preserve"> </w:t>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领导作用</w:t>
            </w:r>
          </w:p>
        </w:tc>
        <w:tc>
          <w:tcPr>
            <w:tcW w:w="8902"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pacing w:line="280" w:lineRule="exact"/>
              <w:rPr>
                <w:rFonts w:hint="eastAsia"/>
                <w:lang w:val="en-GB"/>
              </w:rPr>
            </w:pPr>
            <w:r>
              <w:rPr>
                <w:rFonts w:hint="eastAsia"/>
                <w:lang w:val="en-GB"/>
              </w:rPr>
              <w:t>最高管理者制定了文件化的管理体系方针：</w:t>
            </w:r>
          </w:p>
          <w:p>
            <w:pPr>
              <w:spacing w:line="28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质量方针：</w:t>
            </w:r>
          </w:p>
          <w:p>
            <w:pPr>
              <w:spacing w:line="28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以卓越的品质成就客户，以精益的管理成长自己。</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管理层已经宣布了组织的质量方针并进行了实施，它使所有员工负起持续改进质量管理体系的责任，</w:t>
            </w:r>
            <w:r>
              <w:rPr>
                <w:rFonts w:hint="eastAsia" w:ascii="Times New Roman" w:hAnsi="Times New Roman" w:eastAsia="宋体" w:cs="Times New Roma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902"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客户的需求：</w:t>
                  </w:r>
                </w:p>
                <w:p>
                  <w:pPr>
                    <w:keepNext w:val="0"/>
                    <w:keepLines w:val="0"/>
                    <w:widowControl/>
                    <w:suppressLineNumbers w:val="0"/>
                    <w:jc w:val="left"/>
                    <w:textAlignment w:val="center"/>
                    <w:rPr>
                      <w:rFonts w:hint="default" w:eastAsia="宋体"/>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风险：客户对产品质量、交期、价格、服务及质量/环境/健康安全管理体系的认证要求；</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机遇：实施质量/环境/健康安全体系，满足客户要求，会给公司带来潜在的发展机遇</w:t>
                  </w:r>
                </w:p>
              </w:tc>
              <w:tc>
                <w:tcPr>
                  <w:tcW w:w="3249" w:type="dxa"/>
                  <w:vAlign w:val="center"/>
                </w:tcPr>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1.导入质量/环境/健康安全体系，并通过认证。</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员工的要求：</w:t>
                  </w:r>
                </w:p>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风险：员工对薪资、工作环境、能力提升、公平公正的要求，导致人力成本上升；</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机遇：为改善薪资待遇、工作环境、培训制度完善、规范管理，更好吸收和留住人才。</w:t>
                  </w:r>
                </w:p>
              </w:tc>
              <w:tc>
                <w:tcPr>
                  <w:tcW w:w="3249" w:type="dxa"/>
                  <w:vAlign w:val="center"/>
                </w:tcPr>
                <w:p>
                  <w:pPr>
                    <w:keepNext w:val="0"/>
                    <w:keepLines w:val="0"/>
                    <w:widowControl/>
                    <w:suppressLineNumbers w:val="0"/>
                    <w:jc w:val="left"/>
                    <w:textAlignment w:val="center"/>
                    <w:rPr>
                      <w:rFonts w:hint="default" w:ascii="Times New Roman" w:hAnsi="Times New Roman" w:eastAsia="宋体" w:cs="Times New Roman"/>
                      <w:szCs w:val="24"/>
                      <w:lang w:val="en-US" w:eastAsia="zh-CN"/>
                    </w:rPr>
                  </w:pPr>
                  <w:r>
                    <w:rPr>
                      <w:rFonts w:hint="eastAsia" w:ascii="华文细黑" w:hAnsi="华文细黑" w:eastAsia="华文细黑" w:cs="华文细黑"/>
                      <w:i w:val="0"/>
                      <w:iCs w:val="0"/>
                      <w:color w:val="000000"/>
                      <w:kern w:val="0"/>
                      <w:sz w:val="20"/>
                      <w:szCs w:val="20"/>
                      <w:u w:val="none"/>
                      <w:lang w:val="en-US" w:eastAsia="zh-CN" w:bidi="ar"/>
                    </w:rPr>
                    <w:t>1.改善员工待遇、工作环境；</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2.完善培训体系；</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3.规范管理。</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法律法规日趋完善、市场监管严格：</w:t>
                  </w:r>
                </w:p>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风险：未能遵守相关法规、标准要求，导致被处罚、相关方投诉等；</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机遇：识别法规、标准要求，有效遵守法规。</w:t>
                  </w:r>
                </w:p>
              </w:tc>
              <w:tc>
                <w:tcPr>
                  <w:tcW w:w="3249" w:type="dxa"/>
                  <w:vAlign w:val="center"/>
                </w:tcPr>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1.识别法规、标准；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2.培训实施。</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环境/健康安全意识：</w:t>
                  </w:r>
                </w:p>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风险：随着生活水平提高，人们对环境/健康安全意识提升，社会对企业的要求高，环境污染/不安全等严重影响企业形象。</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机遇：提高环境/安全管理水平，提高企业社会形象。</w:t>
                  </w:r>
                </w:p>
              </w:tc>
              <w:tc>
                <w:tcPr>
                  <w:tcW w:w="3249" w:type="dxa"/>
                  <w:vAlign w:val="center"/>
                </w:tcPr>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1.导入环境/健康安全体系，并通过认证，以提高企业的社会形象。</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人员的流动、员工业务素质绩效考核：</w:t>
                  </w:r>
                </w:p>
                <w:p>
                  <w:pPr>
                    <w:keepNext w:val="0"/>
                    <w:keepLines w:val="0"/>
                    <w:widowControl/>
                    <w:suppressLineNumbers w:val="0"/>
                    <w:jc w:val="left"/>
                    <w:textAlignment w:val="center"/>
                    <w:rPr>
                      <w:rFonts w:hint="eastAsia"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风险：公司目前满两年工龄的管理人员、操作工较为稳定，新员工有较高的离职率；新引进的人员对公司情况不熟悉，工作效率、工作质量需要有一段时间去提升；                                                           机遇：对新员工加强培养，提供培训机会，对稳定员工、提供员工工作积极性有很大帮助。</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1.各部门要及时关注员工的心理变换，创造良好的工作环境，提高员工的归属感；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2.行政部做好人员的储备，防止人员流失后给公司带来的风险；</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3.各部门加强绩效考核的有效开展，通过考核促进员工的工作积极性，提高业务素质。</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数据分析：</w:t>
                  </w:r>
                </w:p>
                <w:p>
                  <w:pPr>
                    <w:keepNext w:val="0"/>
                    <w:keepLines w:val="0"/>
                    <w:widowControl/>
                    <w:suppressLineNumbers w:val="0"/>
                    <w:jc w:val="left"/>
                    <w:textAlignment w:val="center"/>
                    <w:rPr>
                      <w:rFonts w:hint="default"/>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                                                                                           1、数据信息不准确，导致分析的结论不合理。2、数据收集范围不足，导致信息量不足；               3、分析过程没有集思广益，考虑不充分；                  机遇：通过数据分析，明确公司的竞争优势、劣势，寻找改进的机会；</w:t>
                  </w:r>
                </w:p>
              </w:tc>
              <w:tc>
                <w:tcPr>
                  <w:tcW w:w="3249" w:type="dxa"/>
                  <w:vAlign w:val="center"/>
                </w:tcPr>
                <w:p>
                  <w:pPr>
                    <w:keepNext w:val="0"/>
                    <w:keepLines w:val="0"/>
                    <w:widowControl/>
                    <w:suppressLineNumbers w:val="0"/>
                    <w:jc w:val="left"/>
                    <w:textAlignment w:val="center"/>
                    <w:rPr>
                      <w:rFonts w:hint="default" w:ascii="Times New Roman" w:hAnsi="Times New Roman" w:eastAsia="宋体" w:cs="Times New Roman"/>
                      <w:b w:val="0"/>
                      <w:bCs w:val="0"/>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规范数据资料的收集、分析和统计技术的应用，以支持产品、过程和管理体系的策划、实施和持续改进，增相关方满意、增强供应商的管理及改进，提升企业经营业绩；</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应对风险和机遇过程：</w:t>
                  </w:r>
                </w:p>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                                                                                     1.风险识别不齐全。</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2.风险没有制订相应的措施。</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3.措施没有得到有效的实施。                                     机遇：提高风险的应对能力和机遇的把握能力</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制订风险和机遇的应对控制程序，并进行风险和机遇的评估</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领导作用：</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 xml:space="preserve">风险：                                                                              1.领导对管理体系不重视，没有履行管理承诺.      </w:t>
                  </w:r>
                </w:p>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 xml:space="preserve"> 2.未能配置足够的资源。                                            机遇：公司高层充分发挥领导作用，可以提高质量环境管理体系运行的有效性和效率；</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 xml:space="preserve">1.在管理体系中重点体现总经理的作用，确保总经理能够履行承诺。                                                 2.通过对体系的监视和测量，配置足够的资源。 </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信息交流：</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 xml:space="preserve">风险：                                                                                           </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1.交流的对象不明确；                                                            2.交流的方法不当；                                                             3.交流未形成有效落实的方案。                                                   机遇：提高信息交流的效率和有效性，可提高工作的效率和工作质量</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1.建立有效的信息交流机制，以确保交流能够顺畅。                                                          2.配置适宜的信息交流设施，例如：网络、电话、传真等。                                              3.必要的信息在交流过程中做好记录并跟进交流结果。</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环境因素/危险源识别：</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风险：未能充分识别环境因素/危险源，造成未对环境因素/危险源进行控制。</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机遇：充分识别，系统控制，提高环境/健康安全管理水平。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1.识别环境因素/危险源，确定重要环境因素/危险源，制定控制措施和管理方案。</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环境/健康安全法律法规识别：</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风险：相关法律法规识别不充分、或过期，造成未遵守法规情况。</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机会：充分识别法规要求，规避法规风险。</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1.识别相关法律法规要求，纳入业务过程。</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2.定期进行合规性评价。</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环境因素/危险源控制：</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风险：环境因素/危险源在业务过程未能进行有效控制，造成环境污染和员工工伤，并可能触犯法规。                                                                                           机遇：有效控制环境因素/危险源，提高环境/健康安全管理水平。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1.制定环境因素/危险源的控制措施（重大问题制定目标指标和管理方案）；</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2.提供资源，培训执行；</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3.过程检查、整改。</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环境保护/安全意识：</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风险：员工环境保护/安全意识不强，违章指挥和作业，造成环境污染/工伤事件发生。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机遇：强化环境保护/安全意识培训，提高环境保护/安全防护的主动性。</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1.进行环境保护/安全意识、操作培训；</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2.环境/安全纳入绩效考核；</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3、检查、整改。</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质量管理过程控制：</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w:t>
                  </w:r>
                  <w:r>
                    <w:rPr>
                      <w:rFonts w:hint="eastAsia" w:ascii="宋体" w:hAnsi="宋体" w:eastAsia="宋体" w:cs="宋体"/>
                      <w:i w:val="0"/>
                      <w:iCs w:val="0"/>
                      <w:color w:val="000000"/>
                      <w:kern w:val="0"/>
                      <w:sz w:val="20"/>
                      <w:szCs w:val="20"/>
                      <w:u w:val="none"/>
                      <w:lang w:val="en-US" w:eastAsia="zh-CN" w:bidi="ar"/>
                    </w:rPr>
                    <w:t>①</w:t>
                  </w:r>
                  <w:r>
                    <w:rPr>
                      <w:rFonts w:hint="eastAsia" w:ascii="华文细黑" w:hAnsi="华文细黑" w:eastAsia="华文细黑" w:cs="华文细黑"/>
                      <w:i w:val="0"/>
                      <w:iCs w:val="0"/>
                      <w:color w:val="000000"/>
                      <w:kern w:val="0"/>
                      <w:sz w:val="20"/>
                      <w:szCs w:val="20"/>
                      <w:u w:val="none"/>
                      <w:lang w:val="en-US" w:eastAsia="zh-CN" w:bidi="ar"/>
                    </w:rPr>
                    <w:t>不符合市场，产品无法销售；</w:t>
                  </w:r>
                  <w:r>
                    <w:rPr>
                      <w:rFonts w:hint="eastAsia" w:ascii="宋体" w:hAnsi="宋体" w:eastAsia="宋体" w:cs="宋体"/>
                      <w:i w:val="0"/>
                      <w:iCs w:val="0"/>
                      <w:color w:val="000000"/>
                      <w:kern w:val="0"/>
                      <w:sz w:val="20"/>
                      <w:szCs w:val="20"/>
                      <w:u w:val="none"/>
                      <w:lang w:val="en-US" w:eastAsia="zh-CN" w:bidi="ar"/>
                    </w:rPr>
                    <w:t>②</w:t>
                  </w:r>
                  <w:r>
                    <w:rPr>
                      <w:rFonts w:hint="eastAsia" w:ascii="华文细黑" w:hAnsi="华文细黑" w:eastAsia="华文细黑" w:cs="华文细黑"/>
                      <w:i w:val="0"/>
                      <w:iCs w:val="0"/>
                      <w:color w:val="000000"/>
                      <w:kern w:val="0"/>
                      <w:sz w:val="20"/>
                      <w:szCs w:val="20"/>
                      <w:u w:val="none"/>
                      <w:lang w:val="en-US" w:eastAsia="zh-CN" w:bidi="ar"/>
                    </w:rPr>
                    <w:t>对客户要求识别不明确、未评审，导致不能满足客户要求；</w:t>
                  </w:r>
                  <w:r>
                    <w:rPr>
                      <w:rFonts w:hint="eastAsia" w:ascii="宋体" w:hAnsi="宋体" w:eastAsia="宋体" w:cs="宋体"/>
                      <w:i w:val="0"/>
                      <w:iCs w:val="0"/>
                      <w:color w:val="000000"/>
                      <w:kern w:val="0"/>
                      <w:sz w:val="20"/>
                      <w:szCs w:val="20"/>
                      <w:u w:val="none"/>
                      <w:lang w:val="en-US" w:eastAsia="zh-CN" w:bidi="ar"/>
                    </w:rPr>
                    <w:t>③</w:t>
                  </w:r>
                  <w:r>
                    <w:rPr>
                      <w:rFonts w:hint="eastAsia" w:ascii="华文细黑" w:hAnsi="华文细黑" w:eastAsia="华文细黑" w:cs="华文细黑"/>
                      <w:i w:val="0"/>
                      <w:iCs w:val="0"/>
                      <w:color w:val="000000"/>
                      <w:kern w:val="0"/>
                      <w:sz w:val="20"/>
                      <w:szCs w:val="20"/>
                      <w:u w:val="none"/>
                      <w:lang w:val="en-US" w:eastAsia="zh-CN" w:bidi="ar"/>
                    </w:rPr>
                    <w:t>采购、生产控制不力，不合格品多，造成浪费；</w:t>
                  </w:r>
                  <w:r>
                    <w:rPr>
                      <w:rFonts w:hint="eastAsia" w:ascii="宋体" w:hAnsi="宋体" w:eastAsia="宋体" w:cs="宋体"/>
                      <w:i w:val="0"/>
                      <w:iCs w:val="0"/>
                      <w:color w:val="000000"/>
                      <w:kern w:val="0"/>
                      <w:sz w:val="20"/>
                      <w:szCs w:val="20"/>
                      <w:u w:val="none"/>
                      <w:lang w:val="en-US" w:eastAsia="zh-CN" w:bidi="ar"/>
                    </w:rPr>
                    <w:t>④</w:t>
                  </w:r>
                  <w:r>
                    <w:rPr>
                      <w:rFonts w:hint="eastAsia" w:ascii="华文细黑" w:hAnsi="华文细黑" w:eastAsia="华文细黑" w:cs="华文细黑"/>
                      <w:i w:val="0"/>
                      <w:iCs w:val="0"/>
                      <w:color w:val="000000"/>
                      <w:kern w:val="0"/>
                      <w:sz w:val="20"/>
                      <w:szCs w:val="20"/>
                      <w:u w:val="none"/>
                      <w:lang w:val="en-US" w:eastAsia="zh-CN" w:bidi="ar"/>
                    </w:rPr>
                    <w:t>出厂检验把关不力，不合格品交付客户。</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机遇：系统导入质量管理体系，提升公司质量管理水平。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1、导入质量管理体系，严格按标准要求实施管理；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2、持续改善质量管理体系，不断提升质量管理水平。</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应急响应：</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风险：应急响应措施不合理、未演练，紧急情况发生时未能有效处理。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机遇：提高响应能力，降低损失。</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1.制定火灾、工伤等应急预案；</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2.培训和演练、修订程序。</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纠正措施 ：</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风险：不符合原因分析和整改不彻底，造成重复发生。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机遇：提高改善能力，持续改善环境/健康安全管理水平。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1.制定纠正预防措施程序；</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2.培训实施。</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疫情防控</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                                                                                           1.疫情传染导致企业停工停产                                                            2.产品销路不足                                                                    3.增设人员管控疫情。                                                      机遇：客户积累，创新发展</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1.响应防控相关举措，积极应对新冠疫情。                                                          2.创新销路，多方位发展。                                              3.沉淀技术知识，提升产品质量。</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rPr>
                      <w:rFonts w:ascii="Times New Roman" w:hAnsi="Times New Roman" w:eastAsia="宋体" w:cs="Times New Roman"/>
                      <w:b/>
                      <w:sz w:val="18"/>
                      <w:szCs w:val="18"/>
                    </w:rPr>
                  </w:pPr>
                </w:p>
              </w:tc>
              <w:tc>
                <w:tcPr>
                  <w:tcW w:w="3249" w:type="dxa"/>
                  <w:vAlign w:val="center"/>
                </w:tcPr>
                <w:p>
                  <w:pPr>
                    <w:rPr>
                      <w:rFonts w:hint="default" w:eastAsia="宋体"/>
                      <w:sz w:val="18"/>
                      <w:szCs w:val="18"/>
                      <w:lang w:val="en-US" w:eastAsia="zh-CN"/>
                    </w:rPr>
                  </w:pPr>
                </w:p>
              </w:tc>
              <w:tc>
                <w:tcPr>
                  <w:tcW w:w="1717" w:type="dxa"/>
                </w:tcPr>
                <w:p>
                  <w:pPr>
                    <w:shd w:val="clear" w:color="auto" w:fill="C7DAF1" w:themeFill="text2" w:themeFillTint="32"/>
                    <w:rPr>
                      <w:rFonts w:hint="eastAsia"/>
                      <w:sz w:val="18"/>
                      <w:szCs w:val="18"/>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成品合格率≥95% </w:t>
                  </w:r>
                </w:p>
              </w:tc>
              <w:tc>
                <w:tcPr>
                  <w:tcW w:w="3136"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合格数量/总数*100%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质管部</w:t>
                  </w:r>
                </w:p>
              </w:tc>
              <w:tc>
                <w:tcPr>
                  <w:tcW w:w="1774"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交货及时率率≥96%</w:t>
                  </w:r>
                </w:p>
              </w:tc>
              <w:tc>
                <w:tcPr>
                  <w:tcW w:w="3136"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交付数量/订单总数*100%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市场部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顾客综合满意度≥90%</w:t>
                  </w:r>
                </w:p>
              </w:tc>
              <w:tc>
                <w:tcPr>
                  <w:tcW w:w="3136"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总满意得分/调查客户数*100%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市场部</w:t>
                  </w:r>
                </w:p>
              </w:tc>
              <w:tc>
                <w:tcPr>
                  <w:tcW w:w="1774"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98%</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13"/>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r>
              <w:rPr>
                <w:rFonts w:hint="eastAsia"/>
                <w:lang w:val="en-US" w:eastAsia="zh-CN"/>
              </w:rPr>
              <w:t>管理者代表任命</w:t>
            </w:r>
            <w:r>
              <w:rPr>
                <w:rFonts w:hint="eastAsia" w:cs="宋体" w:asciiTheme="minorEastAsia" w:hAnsiTheme="minorEastAsia" w:eastAsiaTheme="minorEastAsia"/>
                <w:szCs w:val="21"/>
                <w:lang w:eastAsia="zh-CN"/>
              </w:rPr>
              <w:t>温晓丽</w:t>
            </w:r>
            <w:r>
              <w:rPr>
                <w:rFonts w:hint="eastAsia"/>
                <w:lang w:val="en-US" w:eastAsia="zh-CN"/>
              </w:rPr>
              <w:t>，有任命书</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restart"/>
            <w:shd w:val="clear" w:color="auto" w:fill="C7DAF1" w:themeFill="text2" w:themeFillTint="32"/>
          </w:tcPr>
          <w:p>
            <w:pPr>
              <w:shd w:val="clear" w:color="auto" w:fill="C7DAF1" w:themeFill="text2" w:themeFillTint="32"/>
            </w:pPr>
            <w:r>
              <w:rPr>
                <w:rFonts w:hint="eastAsia"/>
              </w:rPr>
              <w:t>支持</w:t>
            </w:r>
          </w:p>
        </w:tc>
        <w:tc>
          <w:tcPr>
            <w:tcW w:w="8902"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tcBorders>
              <w:bottom w:val="nil"/>
            </w:tcBorders>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1060" w:type="dxa"/>
            <w:vMerge w:val="continue"/>
            <w:tcBorders>
              <w:right w:val="nil"/>
            </w:tcBorders>
            <w:shd w:val="clear" w:color="auto" w:fill="C7DAF1" w:themeFill="text2" w:themeFillTint="32"/>
          </w:tcPr>
          <w:p>
            <w:pPr>
              <w:shd w:val="clear" w:color="auto" w:fill="C7DAF1" w:themeFill="text2" w:themeFillTint="32"/>
            </w:pPr>
          </w:p>
        </w:tc>
        <w:tc>
          <w:tcPr>
            <w:tcW w:w="8902" w:type="dxa"/>
            <w:tcBorders>
              <w:top w:val="nil"/>
              <w:left w:val="nil"/>
              <w:bottom w:val="nil"/>
              <w:right w:val="nil"/>
            </w:tcBorders>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9290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 xml:space="preserve">3  </w:t>
            </w:r>
            <w:r>
              <w:rPr>
                <w:rFonts w:hint="eastAsia"/>
                <w:color w:val="auto"/>
                <w:u w:val="single"/>
              </w:rPr>
              <w:t xml:space="preserve"> </w:t>
            </w:r>
            <w:r>
              <w:rPr>
                <w:rFonts w:hint="eastAsia"/>
                <w:color w:val="auto"/>
              </w:rPr>
              <w:t>个；实验室</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米机设备、大米色选机、真空包装机、成套粮机设备、糙米调质机、小型成套碾米组合设备、缝包机组、烘干机、全自动定量包装机、电子配米机、原粮初清及重力除杂设备、创优数字调压震动送料控制器、晒场颗粒收集袋装机、小型砻谷机、收谷袋装机等。 </w:t>
            </w:r>
          </w:p>
          <w:p>
            <w:pPr>
              <w:shd w:val="clear" w:color="auto" w:fill="C7DAF1" w:themeFill="text2" w:themeFillTint="32"/>
            </w:pPr>
            <w:r>
              <w:rPr>
                <w:rFonts w:hint="eastAsia"/>
              </w:rPr>
              <w:t xml:space="preserve">特种设备：■叉车 □行车 </w:t>
            </w:r>
            <w:r>
              <w:rPr>
                <w:rFonts w:hint="eastAsia" w:ascii="Wingdings" w:hAnsi="Wingdings"/>
              </w:rPr>
              <w:t>¨</w:t>
            </w:r>
            <w:r>
              <w:rPr>
                <w:rFonts w:hint="eastAsia"/>
              </w:rPr>
              <w:t xml:space="preserve">锅炉 ■电梯  ■压力容器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tcBorders>
              <w:top w:val="nil"/>
            </w:tcBorders>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lang w:val="en-US" w:eastAsia="zh-CN"/>
              </w:rPr>
              <w:t>电子台称、玻璃水银温度计、电子定量包装称、电子天平（列举1~4种）</w:t>
            </w:r>
          </w:p>
          <w:p>
            <w:pPr>
              <w:shd w:val="clear" w:color="auto" w:fill="C7DAF1" w:themeFill="text2" w:themeFillTint="32"/>
              <w:rPr>
                <w:u w:val="single"/>
              </w:rPr>
            </w:pPr>
            <w:r>
              <w:rPr>
                <w:rFonts w:hint="eastAsia"/>
              </w:rPr>
              <w:t>计量器具管理：■进行了定期校准/检定  ■未进行定期校准/检定的有：</w:t>
            </w:r>
            <w:r>
              <w:rPr>
                <w:rFonts w:hint="eastAsia"/>
                <w:u w:val="single"/>
              </w:rPr>
              <w:t xml:space="preserve">  </w:t>
            </w:r>
            <w:r>
              <w:rPr>
                <w:rFonts w:hint="eastAsia"/>
                <w:u w:val="single"/>
                <w:lang w:val="en-US" w:eastAsia="zh-CN"/>
              </w:rPr>
              <w:t>压力表</w:t>
            </w:r>
            <w:r>
              <w:rPr>
                <w:rFonts w:hint="eastAsia"/>
                <w:u w:val="single"/>
              </w:rPr>
              <w:t xml:space="preserve"> </w:t>
            </w:r>
            <w:r>
              <w:rPr>
                <w:rFonts w:hint="eastAsia" w:ascii="Times New Roman" w:hAnsi="Times New Roman" w:eastAsia="宋体" w:cs="Times New Roman"/>
                <w:color w:val="auto"/>
                <w:highlight w:val="none"/>
                <w:u w:val="single"/>
                <w:lang w:val="en-US" w:eastAsia="zh-CN"/>
              </w:rPr>
              <w:t>编号</w:t>
            </w:r>
            <w:r>
              <w:rPr>
                <w:rFonts w:hint="eastAsia"/>
                <w:color w:val="auto"/>
                <w:highlight w:val="none"/>
                <w:u w:val="single"/>
              </w:rPr>
              <w:t>13LH006</w:t>
            </w:r>
            <w:r>
              <w:rPr>
                <w:rFonts w:hint="eastAsia"/>
                <w:color w:val="auto"/>
                <w:highlight w:val="none"/>
                <w:u w:val="single"/>
                <w:lang w:val="en-US" w:eastAsia="zh-CN"/>
              </w:rPr>
              <w:t xml:space="preserve"> 检定证书有效期为2021年10月21日，现场沟通已及时申请检定，但未见到相关证据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restart"/>
            <w:shd w:val="clear" w:color="auto" w:fill="C7DAF1" w:themeFill="text2" w:themeFillTint="32"/>
          </w:tcPr>
          <w:p>
            <w:pPr>
              <w:shd w:val="clear" w:color="auto" w:fill="C7DAF1" w:themeFill="text2" w:themeFillTint="32"/>
            </w:pPr>
            <w:r>
              <w:rPr>
                <w:rFonts w:hint="eastAsia"/>
              </w:rPr>
              <w:t>运行</w:t>
            </w:r>
          </w:p>
        </w:tc>
        <w:tc>
          <w:tcPr>
            <w:tcW w:w="8902"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认证范围内每种产品/服务流程的关键过程及控制参数：</w:t>
            </w:r>
          </w:p>
          <w:tbl>
            <w:tblPr>
              <w:tblStyle w:val="9"/>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6"/>
                      <w:lang w:val="en-US" w:eastAsia="zh-CN" w:bidi="ar"/>
                    </w:rPr>
                    <w:t>产品</w:t>
                  </w:r>
                  <w:r>
                    <w:rPr>
                      <w:rStyle w:val="27"/>
                      <w:rFonts w:eastAsia="宋体"/>
                      <w:lang w:val="en-US" w:eastAsia="zh-CN" w:bidi="ar"/>
                    </w:rPr>
                    <w:t>/</w:t>
                  </w:r>
                  <w:r>
                    <w:rPr>
                      <w:rStyle w:val="26"/>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大米</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稻谷验收</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来自认可的供应商，产品质量应符合国标GB1350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清理（筛选、去石、磁选）</w:t>
                  </w:r>
                </w:p>
              </w:tc>
              <w:tc>
                <w:tcPr>
                  <w:tcW w:w="6026"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稻谷经清理后的净谷含杂量</w:t>
                  </w:r>
                  <w:r>
                    <w:rPr>
                      <w:rFonts w:hint="eastAsia" w:ascii="宋体" w:hAnsi="宋体" w:eastAsia="宋体" w:cs="宋体"/>
                      <w:i w:val="0"/>
                      <w:iCs w:val="0"/>
                      <w:color w:val="000000"/>
                      <w:sz w:val="21"/>
                      <w:szCs w:val="21"/>
                      <w:u w:val="none"/>
                      <w:lang w:val="en-US" w:eastAsia="zh-CN"/>
                    </w:rPr>
                    <w:t>≤</w:t>
                  </w:r>
                  <w:r>
                    <w:rPr>
                      <w:rFonts w:hint="eastAsia" w:ascii="宋体" w:hAnsi="宋体" w:cs="宋体"/>
                      <w:i w:val="0"/>
                      <w:iCs w:val="0"/>
                      <w:color w:val="000000"/>
                      <w:sz w:val="21"/>
                      <w:szCs w:val="21"/>
                      <w:u w:val="none"/>
                      <w:lang w:val="en-US" w:eastAsia="zh-CN"/>
                    </w:rPr>
                    <w:t>0.6%,其中含砂量</w:t>
                  </w:r>
                  <w:r>
                    <w:rPr>
                      <w:rFonts w:hint="eastAsia" w:ascii="宋体" w:hAnsi="宋体" w:eastAsia="宋体" w:cs="宋体"/>
                      <w:i w:val="0"/>
                      <w:iCs w:val="0"/>
                      <w:color w:val="000000"/>
                      <w:sz w:val="21"/>
                      <w:szCs w:val="21"/>
                      <w:u w:val="none"/>
                      <w:lang w:val="en-US" w:eastAsia="zh-CN"/>
                    </w:rPr>
                    <w:t>≤</w:t>
                  </w:r>
                  <w:r>
                    <w:rPr>
                      <w:rFonts w:hint="eastAsia" w:ascii="宋体" w:hAnsi="宋体" w:cs="宋体"/>
                      <w:i w:val="0"/>
                      <w:iCs w:val="0"/>
                      <w:color w:val="000000"/>
                      <w:sz w:val="21"/>
                      <w:szCs w:val="21"/>
                      <w:u w:val="none"/>
                      <w:lang w:val="en-US" w:eastAsia="zh-CN"/>
                    </w:rPr>
                    <w:t xml:space="preserve">1粒/kg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碾米</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按下列精度等级监视碾米质量：</w:t>
                  </w:r>
                </w:p>
                <w:p>
                  <w:pPr>
                    <w:keepNext w:val="0"/>
                    <w:keepLines w:val="0"/>
                    <w:widowControl/>
                    <w:suppressLineNumbers w:val="0"/>
                    <w:jc w:val="left"/>
                    <w:textAlignment w:val="top"/>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精碾：背沟基本无皮，或有皮不成线，米胚和粒面皮层去净的占80-90%</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适碾：背沟有皮，粒面皮层残留不超过1/5的占75-85%</w:t>
                  </w:r>
                </w:p>
                <w:p>
                  <w:pPr>
                    <w:pStyle w:val="2"/>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分级</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碎米指标（依不同品种确定）符合GB/T1354-2018《大米》要求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色选</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黄粒米含量</w:t>
                  </w:r>
                  <w:r>
                    <w:rPr>
                      <w:rFonts w:hint="eastAsia" w:ascii="宋体" w:hAnsi="宋体" w:eastAsia="宋体" w:cs="宋体"/>
                      <w:i w:val="0"/>
                      <w:iCs w:val="0"/>
                      <w:color w:val="000000"/>
                      <w:sz w:val="21"/>
                      <w:szCs w:val="21"/>
                      <w:u w:val="none"/>
                      <w:lang w:val="en-US" w:eastAsia="zh-CN"/>
                    </w:rPr>
                    <w:t>≤</w:t>
                  </w:r>
                  <w:r>
                    <w:rPr>
                      <w:rFonts w:hint="eastAsia" w:ascii="宋体" w:hAnsi="宋体" w:cs="宋体"/>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计量包装</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lang w:val="en-US" w:eastAsia="zh-CN"/>
                    </w:rPr>
                  </w:pPr>
                  <w:r>
                    <w:rPr>
                      <w:rFonts w:hint="eastAsia"/>
                      <w:lang w:val="en-US" w:eastAsia="zh-CN"/>
                    </w:rPr>
                    <w:t>电子称已检定合格</w:t>
                  </w:r>
                </w:p>
                <w:p>
                  <w:pPr>
                    <w:pStyle w:val="2"/>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净含量计量准确，产品包装净含量应符合国家质检总局（2005）第75号令《定量包装商品计量监督管理办法》</w:t>
                  </w:r>
                </w:p>
                <w:p>
                  <w:pPr>
                    <w:pStyle w:val="2"/>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包装袋应坚固结实、封口或者缝口严密</w:t>
                  </w:r>
                </w:p>
              </w:tc>
            </w:tr>
          </w:tbl>
          <w:p>
            <w:pPr>
              <w:pStyle w:val="13"/>
              <w:rPr>
                <w:rFonts w:hint="eastAsia" w:eastAsia="宋体"/>
                <w:lang w:eastAsia="zh-CN"/>
              </w:rPr>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不适用，不存在需要确认过程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■容器编号 ■人员编号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绩效评价</w:t>
            </w:r>
          </w:p>
        </w:tc>
        <w:tc>
          <w:tcPr>
            <w:tcW w:w="8902"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改进</w:t>
            </w:r>
          </w:p>
        </w:tc>
        <w:tc>
          <w:tcPr>
            <w:tcW w:w="8902"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pStyle w:val="2"/>
      </w:pPr>
    </w:p>
    <w:p>
      <w:pPr>
        <w:pStyle w:val="2"/>
      </w:pPr>
    </w:p>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组织运用生命周期观点明确相关环境管理体系的范围；（详见第二条款审核范围）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highlight w:val="none"/>
              </w:rPr>
              <w:t>已将环境管理体系要求融入到其各项业务过程中，包括：</w:t>
            </w:r>
          </w:p>
          <w:p>
            <w:pPr>
              <w:shd w:val="clear" w:color="auto" w:fill="EBF1DE" w:themeFill="accent3" w:themeFillTint="32"/>
              <w:spacing w:before="40" w:after="40"/>
              <w:rPr>
                <w:highlight w:val="none"/>
              </w:rPr>
            </w:pPr>
            <w:r>
              <w:rPr>
                <w:rFonts w:hint="eastAsia"/>
                <w:highlight w:val="none"/>
              </w:rPr>
              <w:t xml:space="preserve">□设计和开发 ■采购 ■人力资源■营销和市场  ■生产 ■检验 ■仓库管理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■节约能源  ■节约资源 ■达标排放 ■消防控制 □危化品管理 ■特种设备管理 </w:t>
            </w:r>
          </w:p>
          <w:p>
            <w:pPr>
              <w:shd w:val="clear" w:color="auto" w:fill="EBF1DE" w:themeFill="accent3" w:themeFillTint="32"/>
              <w:spacing w:before="40" w:after="40"/>
              <w:rPr>
                <w:highlight w:val="none"/>
              </w:rPr>
            </w:pPr>
            <w:r>
              <w:rPr>
                <w:rFonts w:hint="eastAsia"/>
                <w:highlight w:val="none"/>
              </w:rPr>
              <w:t>■环评三同时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 xml:space="preserve">）  </w:t>
            </w:r>
          </w:p>
          <w:p>
            <w:pPr>
              <w:shd w:val="clear" w:color="auto" w:fill="EBF1DE" w:themeFill="accent3" w:themeFillTint="32"/>
              <w:spacing w:before="40" w:after="40"/>
              <w:rPr>
                <w:highlight w:val="none"/>
              </w:rPr>
            </w:pPr>
            <w:r>
              <w:rPr>
                <w:rFonts w:hint="eastAsia"/>
                <w:highlight w:val="none"/>
              </w:rPr>
              <w:t>□危险废物处置 □消防检测 □生产/服务过程 □环保监测 ■产品运输 □设备维修</w:t>
            </w:r>
          </w:p>
          <w:p>
            <w:pPr>
              <w:shd w:val="clear" w:color="auto" w:fill="EBF1DE" w:themeFill="accent3" w:themeFillTint="32"/>
              <w:spacing w:before="40" w:after="40"/>
              <w:rPr>
                <w:highlight w:val="none"/>
              </w:rPr>
            </w:pPr>
            <w:r>
              <w:rPr>
                <w:rFonts w:hint="eastAsia"/>
                <w:highlight w:val="none"/>
              </w:rPr>
              <w:t xml:space="preserve">□人员培训 □其他  </w:t>
            </w:r>
            <w:r>
              <w:rPr>
                <w:rFonts w:hint="eastAsia"/>
                <w:b/>
                <w:bCs/>
                <w:highlight w:val="none"/>
                <w:lang w:val="en-GB"/>
              </w:rPr>
              <w:t xml:space="preserve"> </w:t>
            </w:r>
          </w:p>
          <w:p>
            <w:pPr>
              <w:shd w:val="clear" w:color="auto" w:fill="EBF1DE" w:themeFill="accent3" w:themeFillTint="32"/>
              <w:rPr>
                <w:highlight w:val="none"/>
              </w:rPr>
            </w:pPr>
            <w:r>
              <w:rPr>
                <w:rFonts w:hint="eastAsia"/>
                <w:highlight w:val="none"/>
                <w:lang w:val="en-GB"/>
              </w:rPr>
              <w:t>组织通过</w:t>
            </w:r>
            <w:r>
              <w:rPr>
                <w:rFonts w:hint="eastAsia"/>
                <w:highlight w:val="none"/>
              </w:rPr>
              <w:t>环境</w:t>
            </w:r>
            <w:r>
              <w:rPr>
                <w:rFonts w:hint="eastAsia"/>
                <w:highlight w:val="none"/>
                <w:lang w:val="en-GB"/>
              </w:rPr>
              <w:t>目标的建立、实施、</w:t>
            </w:r>
            <w:r>
              <w:rPr>
                <w:rFonts w:hint="eastAsia"/>
                <w:highlight w:val="none"/>
              </w:rPr>
              <w:t>相关方反馈</w:t>
            </w:r>
            <w:r>
              <w:rPr>
                <w:rFonts w:hint="eastAsia"/>
                <w:highlight w:val="none"/>
                <w:lang w:val="en-GB"/>
              </w:rPr>
              <w:t>、内审和管理评审等方式，充分地</w:t>
            </w:r>
            <w:r>
              <w:rPr>
                <w:rFonts w:hint="eastAsia"/>
                <w:highlight w:val="none"/>
              </w:rPr>
              <w:t>评审，管理及</w:t>
            </w:r>
            <w:r>
              <w:rPr>
                <w:rFonts w:hint="eastAsia"/>
                <w:highlight w:val="none"/>
                <w:lang w:val="en-GB"/>
              </w:rPr>
              <w:t>控制这些</w:t>
            </w:r>
            <w:r>
              <w:rPr>
                <w:rFonts w:hint="eastAsia"/>
                <w:highlight w:val="none"/>
              </w:rPr>
              <w:t>环境管理体系覆盖的过程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280" w:lineRule="exact"/>
              <w:ind w:firstLine="420" w:firstLineChars="200"/>
              <w:rPr>
                <w:rFonts w:hint="eastAsia" w:cs="宋体" w:asciiTheme="minorEastAsia" w:hAnsiTheme="minorEastAsia" w:eastAsiaTheme="minorEastAsia"/>
                <w:szCs w:val="21"/>
                <w:lang w:val="en-US" w:eastAsia="zh-CN"/>
              </w:rPr>
            </w:pPr>
            <w:r>
              <w:rPr>
                <w:rFonts w:hint="eastAsia"/>
              </w:rPr>
              <w:t>最高管理者制定了文件化的管理体系方针：</w:t>
            </w:r>
          </w:p>
          <w:p>
            <w:pPr>
              <w:spacing w:line="28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污染预防、保护环境、遵守法规、持续改进，积极创建绿色发展环境。</w:t>
            </w:r>
          </w:p>
          <w:p>
            <w:pPr>
              <w:shd w:val="clear" w:color="auto" w:fill="EBF1DE" w:themeFill="accent3" w:themeFillTint="32"/>
              <w:ind w:firstLine="420" w:firstLineChars="200"/>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1.生产销售服务发生变化时，环境因素危险源未及时更新</w:t>
                  </w:r>
                </w:p>
              </w:tc>
              <w:tc>
                <w:tcPr>
                  <w:tcW w:w="3965" w:type="dxa"/>
                  <w:vAlign w:val="center"/>
                </w:tcPr>
                <w:p>
                  <w:pPr>
                    <w:rPr>
                      <w:rFonts w:ascii="宋体" w:hAnsi="宋体" w:cs="宋体"/>
                      <w:sz w:val="20"/>
                      <w:szCs w:val="20"/>
                    </w:rPr>
                  </w:pPr>
                  <w:r>
                    <w:rPr>
                      <w:rFonts w:hint="eastAsia"/>
                      <w:sz w:val="20"/>
                      <w:szCs w:val="20"/>
                    </w:rPr>
                    <w:t>环境因素危险源识别与评价管理中明确环境因素危险源明确评价及更新的时机:每年一次评审、生产活动和服务有增减时</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rPr>
                      <w:rFonts w:ascii="宋体" w:hAnsi="宋体" w:cs="宋体"/>
                      <w:sz w:val="20"/>
                      <w:szCs w:val="20"/>
                    </w:rPr>
                  </w:pPr>
                  <w:r>
                    <w:rPr>
                      <w:rFonts w:hint="eastAsia"/>
                      <w:sz w:val="20"/>
                      <w:szCs w:val="20"/>
                    </w:rPr>
                    <w:t>2.重要环境因素危险源识别错误,漏识别或多识别</w:t>
                  </w:r>
                </w:p>
              </w:tc>
              <w:tc>
                <w:tcPr>
                  <w:tcW w:w="3965" w:type="dxa"/>
                  <w:vAlign w:val="center"/>
                </w:tcPr>
                <w:p>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 xml:space="preserve">能源消耗 </w:t>
            </w:r>
            <w:r>
              <w:rPr>
                <w:rFonts w:hint="eastAsia"/>
                <w:lang w:val="en-US" w:eastAsia="zh-CN"/>
              </w:rPr>
              <w:t xml:space="preserve"> </w:t>
            </w:r>
            <w:r>
              <w:rPr>
                <w:rFonts w:hint="eastAsia"/>
              </w:rPr>
              <w:sym w:font="Wingdings 2" w:char="00A3"/>
            </w:r>
            <w:r>
              <w:rPr>
                <w:rFonts w:hint="eastAsia"/>
              </w:rPr>
              <w:t xml:space="preserve">资源消耗 □废水排放  </w:t>
            </w:r>
            <w:r>
              <w:rPr>
                <w:rFonts w:hint="eastAsia"/>
              </w:rPr>
              <w:sym w:font="Wingdings 2" w:char="00A3"/>
            </w:r>
            <w:r>
              <w:rPr>
                <w:rFonts w:hint="eastAsia"/>
              </w:rPr>
              <w:t xml:space="preserve">废气排放 ■粉尘排放  ■固废排放 □噪声排放  </w:t>
            </w:r>
            <w:r>
              <w:rPr>
                <w:rFonts w:hint="eastAsia"/>
              </w:rPr>
              <w:sym w:font="Wingdings 2" w:char="00A3"/>
            </w:r>
            <w:r>
              <w:rPr>
                <w:rFonts w:hint="eastAsia"/>
              </w:rPr>
              <w:t>化学品泄露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rPr>
                <w:rFonts w:hint="default" w:eastAsia="宋体"/>
                <w:szCs w:val="18"/>
                <w:highlight w:val="none"/>
                <w:u w:val="single"/>
                <w:lang w:val="en-US" w:eastAsia="zh-CN"/>
              </w:rPr>
            </w:pPr>
            <w:r>
              <w:rPr>
                <w:rFonts w:hint="eastAsia"/>
              </w:rPr>
              <w:t xml:space="preserve">■排污许可证编号： </w:t>
            </w:r>
            <w:r>
              <w:rPr>
                <w:rFonts w:hint="eastAsia"/>
                <w:u w:val="single"/>
              </w:rPr>
              <w:t xml:space="preserve"> </w:t>
            </w:r>
            <w:r>
              <w:rPr>
                <w:rFonts w:hint="eastAsia" w:ascii="Times New Roman" w:hAnsi="Times New Roman" w:cs="Times New Roman"/>
                <w:szCs w:val="18"/>
                <w:highlight w:val="none"/>
                <w:u w:val="single"/>
                <w:lang w:val="en-US" w:eastAsia="zh-CN"/>
              </w:rPr>
              <w:t>有《</w:t>
            </w:r>
            <w:r>
              <w:rPr>
                <w:rFonts w:hint="eastAsia" w:ascii="Times New Roman" w:hAnsi="Times New Roman" w:cs="Times New Roman"/>
                <w:szCs w:val="18"/>
                <w:highlight w:val="none"/>
                <w:u w:val="single"/>
              </w:rPr>
              <w:t>固定污染源排污登记</w:t>
            </w:r>
            <w:r>
              <w:rPr>
                <w:rFonts w:hint="eastAsia" w:ascii="Times New Roman" w:hAnsi="Times New Roman" w:cs="Times New Roman"/>
                <w:szCs w:val="18"/>
                <w:highlight w:val="none"/>
                <w:u w:val="single"/>
                <w:lang w:val="en-US" w:eastAsia="zh-CN"/>
              </w:rPr>
              <w:t>》，</w:t>
            </w:r>
            <w:r>
              <w:rPr>
                <w:rFonts w:hint="eastAsia" w:ascii="Times New Roman" w:hAnsi="Times New Roman" w:cs="Times New Roman"/>
                <w:szCs w:val="18"/>
                <w:highlight w:val="none"/>
                <w:u w:val="single"/>
              </w:rPr>
              <w:t>登记编号:91350824705328700M001X</w:t>
            </w:r>
            <w:r>
              <w:rPr>
                <w:rFonts w:hint="eastAsia" w:ascii="Times New Roman" w:hAnsi="Times New Roman" w:cs="Times New Roman"/>
                <w:szCs w:val="18"/>
                <w:highlight w:val="none"/>
                <w:u w:val="single"/>
                <w:lang w:eastAsia="zh-CN"/>
              </w:rPr>
              <w:t>；</w:t>
            </w:r>
            <w:r>
              <w:rPr>
                <w:rFonts w:hint="eastAsia"/>
                <w:szCs w:val="18"/>
                <w:highlight w:val="none"/>
                <w:u w:val="single"/>
              </w:rPr>
              <w:t xml:space="preserve">   </w:t>
            </w:r>
          </w:p>
          <w:p>
            <w:r>
              <w:rPr>
                <w:rFonts w:hint="eastAsia"/>
                <w:szCs w:val="18"/>
                <w:highlight w:val="none"/>
              </w:rPr>
              <w:t>有效期：</w:t>
            </w:r>
            <w:r>
              <w:rPr>
                <w:rFonts w:hint="eastAsia" w:ascii="Times New Roman" w:hAnsi="Times New Roman" w:cs="Times New Roman"/>
                <w:szCs w:val="18"/>
                <w:highlight w:val="none"/>
                <w:u w:val="single"/>
                <w:lang w:val="en-US" w:eastAsia="zh-CN"/>
              </w:rPr>
              <w:t>2020年04月03日至2025年04月02日</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ascii="Times New Roman" w:hAnsi="Times New Roman" w:cs="Times New Roman"/>
                <w:szCs w:val="18"/>
                <w:highlight w:val="none"/>
                <w:u w:val="single"/>
                <w:lang w:val="en-US" w:eastAsia="zh-CN"/>
              </w:rPr>
              <w:t>2014年01月27日</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t>□环境影响报告表日期：</w:t>
            </w:r>
            <w:r>
              <w:rPr>
                <w:rFonts w:hint="eastAsia"/>
                <w:u w:val="single"/>
              </w:rPr>
              <w:t xml:space="preserve">    </w:t>
            </w:r>
            <w:r>
              <w:rPr>
                <w:rFonts w:hint="eastAsia"/>
                <w:u w:val="single"/>
                <w:lang w:val="en-US" w:eastAsia="zh-CN"/>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ascii="Times New Roman" w:hAnsi="Times New Roman" w:cs="Times New Roman"/>
                <w:szCs w:val="18"/>
                <w:highlight w:val="none"/>
                <w:u w:val="single"/>
                <w:lang w:val="en-US" w:eastAsia="zh-CN"/>
              </w:rPr>
              <w:t>2014年01月23日</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highlight w:val="none"/>
              </w:rPr>
            </w:pPr>
            <w:r>
              <w:rPr>
                <w:rFonts w:hint="eastAsia"/>
                <w:highlight w:val="none"/>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4934"/>
              <w:gridCol w:w="115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93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270" w:type="dxa"/>
                  <w:shd w:val="clear" w:color="auto" w:fill="auto"/>
                </w:tcPr>
                <w:p>
                  <w:pPr>
                    <w:shd w:val="clear" w:color="auto" w:fill="EBF1DE" w:themeFill="accent3" w:themeFillTint="32"/>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restart"/>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rPr>
                    <w:t>火灾</w:t>
                  </w:r>
                </w:p>
              </w:tc>
              <w:tc>
                <w:tcPr>
                  <w:tcW w:w="4934" w:type="dxa"/>
                  <w:shd w:val="clear" w:color="auto" w:fill="auto"/>
                  <w:vAlign w:val="center"/>
                </w:tcPr>
                <w:p>
                  <w:pPr>
                    <w:spacing w:line="360" w:lineRule="auto"/>
                    <w:rPr>
                      <w:rFonts w:ascii="宋体" w:hAnsi="宋体" w:cs="宋体"/>
                      <w:sz w:val="24"/>
                      <w:lang w:bidi="ar"/>
                    </w:rPr>
                  </w:pPr>
                  <w:r>
                    <w:rPr>
                      <w:rFonts w:hint="eastAsia"/>
                      <w:szCs w:val="21"/>
                    </w:rPr>
                    <w:t>1.制定相应的管理制度并严格执行，配备必要的防火设施（包括灭火器、消防栓等）并保证其完好</w:t>
                  </w:r>
                </w:p>
              </w:tc>
              <w:tc>
                <w:tcPr>
                  <w:tcW w:w="1150" w:type="dxa"/>
                  <w:vMerge w:val="restart"/>
                  <w:shd w:val="clear" w:color="auto" w:fill="auto"/>
                  <w:vAlign w:val="center"/>
                </w:tcPr>
                <w:p>
                  <w:pPr>
                    <w:jc w:val="center"/>
                    <w:rPr>
                      <w:rFonts w:ascii="宋体" w:hAnsi="宋体" w:cs="宋体"/>
                      <w:sz w:val="24"/>
                      <w:lang w:bidi="ar"/>
                    </w:rPr>
                  </w:pPr>
                  <w:r>
                    <w:rPr>
                      <w:rFonts w:hint="eastAsia"/>
                      <w:szCs w:val="21"/>
                      <w:lang w:eastAsia="zh-CN"/>
                    </w:rPr>
                    <w:t>行政部</w:t>
                  </w:r>
                </w:p>
              </w:tc>
              <w:tc>
                <w:tcPr>
                  <w:tcW w:w="1270" w:type="dxa"/>
                  <w:vMerge w:val="restart"/>
                  <w:shd w:val="clear" w:color="auto" w:fill="auto"/>
                </w:tcPr>
                <w:p>
                  <w:pPr>
                    <w:pStyle w:val="24"/>
                    <w:jc w:val="left"/>
                    <w:rPr>
                      <w:rFonts w:hint="eastAsia" w:ascii="宋体" w:hAnsi="宋体"/>
                      <w:bCs/>
                      <w:color w:val="000000"/>
                      <w:szCs w:val="21"/>
                    </w:rPr>
                  </w:pPr>
                </w:p>
                <w:p>
                  <w:pPr>
                    <w:pStyle w:val="24"/>
                    <w:jc w:val="left"/>
                    <w:rPr>
                      <w:rFonts w:hint="eastAsia" w:ascii="宋体" w:hAnsi="宋体"/>
                      <w:bCs/>
                      <w:color w:val="000000"/>
                      <w:szCs w:val="21"/>
                    </w:rPr>
                  </w:pPr>
                </w:p>
                <w:p>
                  <w:pPr>
                    <w:pStyle w:val="24"/>
                    <w:jc w:val="left"/>
                    <w:rPr>
                      <w:rFonts w:ascii="宋体" w:hAnsi="宋体"/>
                      <w:bCs/>
                      <w:color w:val="000000"/>
                      <w:szCs w:val="21"/>
                    </w:rPr>
                  </w:pPr>
                  <w:r>
                    <w:rPr>
                      <w:rFonts w:hint="eastAsia" w:ascii="宋体" w:hAnsi="宋体"/>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continue"/>
                  <w:shd w:val="clear" w:color="auto" w:fill="auto"/>
                  <w:vAlign w:val="center"/>
                </w:tcPr>
                <w:p>
                  <w:pPr>
                    <w:spacing w:line="400" w:lineRule="exact"/>
                    <w:jc w:val="center"/>
                    <w:rPr>
                      <w:rFonts w:hint="eastAsia"/>
                      <w:szCs w:val="21"/>
                    </w:rPr>
                  </w:pPr>
                </w:p>
              </w:tc>
              <w:tc>
                <w:tcPr>
                  <w:tcW w:w="4934" w:type="dxa"/>
                  <w:shd w:val="clear" w:color="auto" w:fill="auto"/>
                  <w:vAlign w:val="center"/>
                </w:tcPr>
                <w:p>
                  <w:pPr>
                    <w:rPr>
                      <w:rFonts w:hint="eastAsia" w:ascii="宋体" w:hAnsi="宋体" w:cs="宋体"/>
                      <w:sz w:val="24"/>
                      <w:lang w:bidi="ar"/>
                    </w:rPr>
                  </w:pPr>
                  <w:r>
                    <w:rPr>
                      <w:rFonts w:hint="eastAsia"/>
                      <w:szCs w:val="21"/>
                    </w:rPr>
                    <w:t>2. 成立应急响应工作小组（见《应急响应</w:t>
                  </w:r>
                  <w:r>
                    <w:rPr>
                      <w:rFonts w:hint="eastAsia"/>
                      <w:szCs w:val="21"/>
                      <w:lang w:eastAsia="zh-CN"/>
                    </w:rPr>
                    <w:t>方案</w:t>
                  </w:r>
                  <w:r>
                    <w:rPr>
                      <w:rFonts w:hint="eastAsia"/>
                      <w:szCs w:val="21"/>
                    </w:rPr>
                    <w:t>》）</w:t>
                  </w:r>
                </w:p>
              </w:tc>
              <w:tc>
                <w:tcPr>
                  <w:tcW w:w="1150" w:type="dxa"/>
                  <w:vMerge w:val="continue"/>
                  <w:shd w:val="clear" w:color="auto" w:fill="auto"/>
                  <w:vAlign w:val="center"/>
                </w:tcPr>
                <w:p>
                  <w:pPr>
                    <w:jc w:val="center"/>
                    <w:rPr>
                      <w:rFonts w:hint="eastAsia" w:ascii="宋体" w:hAnsi="宋体" w:cs="宋体"/>
                      <w:sz w:val="24"/>
                      <w:lang w:bidi="ar"/>
                    </w:rPr>
                  </w:pPr>
                </w:p>
              </w:tc>
              <w:tc>
                <w:tcPr>
                  <w:tcW w:w="1270" w:type="dxa"/>
                  <w:vMerge w:val="continue"/>
                  <w:shd w:val="clear" w:color="auto" w:fill="auto"/>
                </w:tcPr>
                <w:p>
                  <w:pPr>
                    <w:pStyle w:val="24"/>
                    <w:jc w:val="left"/>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continue"/>
                  <w:shd w:val="clear" w:color="auto" w:fill="auto"/>
                  <w:vAlign w:val="center"/>
                </w:tcPr>
                <w:p>
                  <w:pPr>
                    <w:spacing w:line="400" w:lineRule="exact"/>
                    <w:jc w:val="center"/>
                    <w:rPr>
                      <w:rFonts w:hint="eastAsia"/>
                      <w:szCs w:val="21"/>
                    </w:rPr>
                  </w:pPr>
                </w:p>
              </w:tc>
              <w:tc>
                <w:tcPr>
                  <w:tcW w:w="4934" w:type="dxa"/>
                  <w:shd w:val="clear" w:color="auto" w:fill="auto"/>
                  <w:vAlign w:val="center"/>
                </w:tcPr>
                <w:p>
                  <w:pPr>
                    <w:spacing w:line="240" w:lineRule="auto"/>
                    <w:rPr>
                      <w:rFonts w:hint="eastAsia" w:ascii="宋体" w:hAnsi="宋体" w:cs="宋体"/>
                      <w:sz w:val="24"/>
                      <w:lang w:bidi="ar"/>
                    </w:rPr>
                  </w:pPr>
                  <w:r>
                    <w:rPr>
                      <w:rFonts w:hint="eastAsia"/>
                      <w:szCs w:val="21"/>
                    </w:rPr>
                    <w:t>3. 淘汰过期、报废办公设备,监督物业方对公共区域灭火器等消防器材进行定期更新，公司内部自己配置灭火器；每年进行一次消防演习</w:t>
                  </w:r>
                </w:p>
              </w:tc>
              <w:tc>
                <w:tcPr>
                  <w:tcW w:w="1150" w:type="dxa"/>
                  <w:vMerge w:val="continue"/>
                  <w:shd w:val="clear" w:color="auto" w:fill="auto"/>
                  <w:vAlign w:val="center"/>
                </w:tcPr>
                <w:p>
                  <w:pPr>
                    <w:jc w:val="center"/>
                    <w:rPr>
                      <w:rFonts w:hint="eastAsia" w:ascii="宋体" w:hAnsi="宋体" w:cs="宋体"/>
                      <w:sz w:val="24"/>
                      <w:lang w:bidi="ar"/>
                    </w:rPr>
                  </w:pPr>
                </w:p>
              </w:tc>
              <w:tc>
                <w:tcPr>
                  <w:tcW w:w="1270" w:type="dxa"/>
                  <w:vMerge w:val="continue"/>
                  <w:shd w:val="clear" w:color="auto" w:fill="auto"/>
                </w:tcPr>
                <w:p>
                  <w:pPr>
                    <w:pStyle w:val="24"/>
                    <w:jc w:val="left"/>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restart"/>
                  <w:shd w:val="clear" w:color="auto" w:fill="auto"/>
                  <w:vAlign w:val="center"/>
                </w:tcPr>
                <w:p>
                  <w:pPr>
                    <w:spacing w:line="400" w:lineRule="exact"/>
                    <w:jc w:val="center"/>
                    <w:rPr>
                      <w:rFonts w:ascii="宋体" w:hAnsi="宋体" w:cs="宋体"/>
                      <w:sz w:val="24"/>
                      <w:lang w:bidi="ar"/>
                    </w:rPr>
                  </w:pPr>
                  <w:r>
                    <w:rPr>
                      <w:rFonts w:hint="eastAsia"/>
                      <w:szCs w:val="21"/>
                    </w:rPr>
                    <w:t>固体废弃物</w:t>
                  </w:r>
                </w:p>
              </w:tc>
              <w:tc>
                <w:tcPr>
                  <w:tcW w:w="4934" w:type="dxa"/>
                  <w:shd w:val="clear" w:color="auto" w:fill="auto"/>
                  <w:vAlign w:val="center"/>
                </w:tcPr>
                <w:p>
                  <w:pPr>
                    <w:spacing w:line="360" w:lineRule="auto"/>
                    <w:rPr>
                      <w:rFonts w:ascii="宋体" w:hAnsi="宋体" w:cs="宋体"/>
                      <w:sz w:val="24"/>
                      <w:lang w:bidi="ar"/>
                    </w:rPr>
                  </w:pPr>
                  <w:r>
                    <w:rPr>
                      <w:rFonts w:hint="eastAsia"/>
                      <w:szCs w:val="21"/>
                    </w:rPr>
                    <w:t>按可回收、不可回收、危险废弃物等固体废弃物分类专门存放，统一收集</w:t>
                  </w:r>
                </w:p>
              </w:tc>
              <w:tc>
                <w:tcPr>
                  <w:tcW w:w="1150" w:type="dxa"/>
                  <w:vMerge w:val="restart"/>
                  <w:shd w:val="clear" w:color="auto" w:fill="auto"/>
                  <w:vAlign w:val="center"/>
                </w:tcPr>
                <w:p>
                  <w:pPr>
                    <w:jc w:val="center"/>
                    <w:rPr>
                      <w:rFonts w:ascii="宋体" w:hAnsi="宋体" w:cs="宋体"/>
                      <w:sz w:val="24"/>
                      <w:lang w:bidi="ar"/>
                    </w:rPr>
                  </w:pPr>
                  <w:r>
                    <w:rPr>
                      <w:rFonts w:hint="eastAsia"/>
                    </w:rPr>
                    <w:t>各部门</w:t>
                  </w:r>
                </w:p>
              </w:tc>
              <w:tc>
                <w:tcPr>
                  <w:tcW w:w="1270" w:type="dxa"/>
                  <w:vMerge w:val="restart"/>
                  <w:shd w:val="clear" w:color="auto" w:fill="auto"/>
                </w:tcPr>
                <w:p>
                  <w:pPr>
                    <w:pStyle w:val="24"/>
                    <w:jc w:val="left"/>
                    <w:rPr>
                      <w:rFonts w:hint="eastAsia" w:ascii="宋体" w:hAnsi="宋体"/>
                      <w:bCs/>
                      <w:color w:val="000000"/>
                      <w:szCs w:val="21"/>
                    </w:rPr>
                  </w:pPr>
                </w:p>
                <w:p>
                  <w:pPr>
                    <w:pStyle w:val="24"/>
                    <w:jc w:val="left"/>
                    <w:rPr>
                      <w:rFonts w:ascii="宋体" w:hAnsi="宋体"/>
                      <w:bCs/>
                      <w:color w:val="000000"/>
                      <w:szCs w:val="21"/>
                    </w:rPr>
                  </w:pPr>
                  <w:r>
                    <w:rPr>
                      <w:rFonts w:hint="eastAsia" w:ascii="宋体" w:hAnsi="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Merge w:val="continue"/>
                  <w:shd w:val="clear" w:color="auto" w:fill="auto"/>
                  <w:vAlign w:val="center"/>
                </w:tcPr>
                <w:p>
                  <w:pPr>
                    <w:spacing w:line="360" w:lineRule="auto"/>
                    <w:ind w:firstLine="205" w:firstLineChars="98"/>
                    <w:jc w:val="center"/>
                  </w:pPr>
                </w:p>
              </w:tc>
              <w:tc>
                <w:tcPr>
                  <w:tcW w:w="4934" w:type="dxa"/>
                  <w:shd w:val="clear" w:color="auto" w:fill="auto"/>
                  <w:vAlign w:val="center"/>
                </w:tcPr>
                <w:p>
                  <w:r>
                    <w:rPr>
                      <w:rFonts w:hint="eastAsia"/>
                      <w:szCs w:val="21"/>
                    </w:rPr>
                    <w:t>严格执行《废弃物控制程序》及公司环境卫生管理规定</w:t>
                  </w:r>
                </w:p>
              </w:tc>
              <w:tc>
                <w:tcPr>
                  <w:tcW w:w="1150" w:type="dxa"/>
                  <w:vMerge w:val="continue"/>
                  <w:shd w:val="clear" w:color="auto" w:fill="auto"/>
                  <w:vAlign w:val="center"/>
                </w:tcPr>
                <w:p>
                  <w:pPr>
                    <w:jc w:val="center"/>
                  </w:pPr>
                </w:p>
              </w:tc>
              <w:tc>
                <w:tcPr>
                  <w:tcW w:w="1270" w:type="dxa"/>
                  <w:vMerge w:val="continue"/>
                  <w:shd w:val="clear" w:color="auto" w:fill="auto"/>
                </w:tcPr>
                <w:p>
                  <w:pPr>
                    <w:pStyle w:val="24"/>
                    <w:jc w:val="left"/>
                    <w:rPr>
                      <w:rFonts w:ascii="Times New Roman" w:hAnsi="Times New Roman" w:eastAsia="宋体" w:cs="Times New Roman"/>
                      <w:szCs w:val="24"/>
                    </w:rPr>
                  </w:pPr>
                </w:p>
              </w:tc>
            </w:tr>
          </w:tbl>
          <w:p>
            <w:pPr>
              <w:shd w:val="clear" w:color="auto" w:fill="EBF1DE" w:themeFill="accent3" w:themeFillTint="32"/>
            </w:pPr>
            <w:r>
              <w:rPr>
                <w:rFonts w:hint="eastAsia"/>
              </w:rPr>
              <w:t>■目标已实现</w:t>
            </w: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 ■自然资源 ■基础设施  ■技术  ■财务资源。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 xml:space="preserve">建筑面积  </w:t>
            </w:r>
            <w:r>
              <w:rPr>
                <w:rFonts w:hint="eastAsia"/>
                <w:lang w:val="en-US" w:eastAsia="zh-CN"/>
              </w:rPr>
              <w:t>9290</w:t>
            </w:r>
            <w:r>
              <w:rPr>
                <w:rFonts w:hint="eastAsia"/>
              </w:rPr>
              <w:t xml:space="preserve">  平方米；生产车间 </w:t>
            </w:r>
            <w:r>
              <w:rPr>
                <w:rFonts w:hint="eastAsia"/>
                <w:lang w:val="en-US" w:eastAsia="zh-CN"/>
              </w:rPr>
              <w:t>2</w:t>
            </w:r>
            <w:r>
              <w:rPr>
                <w:rFonts w:hint="eastAsia"/>
              </w:rPr>
              <w:t xml:space="preserve">  个；库房  </w:t>
            </w:r>
            <w:r>
              <w:rPr>
                <w:rFonts w:hint="eastAsia"/>
                <w:lang w:val="en-US" w:eastAsia="zh-CN"/>
              </w:rPr>
              <w:t xml:space="preserve">3  </w:t>
            </w:r>
            <w:r>
              <w:rPr>
                <w:rFonts w:hint="eastAsia"/>
              </w:rPr>
              <w:t xml:space="preserve"> 个；实验室 </w:t>
            </w:r>
            <w:r>
              <w:rPr>
                <w:rFonts w:hint="eastAsia"/>
                <w:lang w:val="en-US" w:eastAsia="zh-CN"/>
              </w:rPr>
              <w:t>1</w:t>
            </w:r>
            <w:r>
              <w:rPr>
                <w:rFonts w:hint="eastAsia"/>
              </w:rPr>
              <w:t xml:space="preserve">  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米机设备、大米色选机、真空包装机、成套粮机设备、糙米调质机、小型成套碾米组合设备、缝包机组、烘干机、全自动定量包装机、电子配米机、原粮初清及重力除杂设备、创优数字调压震动送料控制器、晒场颗粒收集袋装机、小型砻谷机、收谷袋装机等。</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■电梯   ■压力容器  </w:t>
            </w:r>
            <w:r>
              <w:rPr>
                <w:rFonts w:ascii="Wingdings" w:hAnsi="Wingdings"/>
              </w:rPr>
              <w:t>□</w:t>
            </w:r>
            <w:r>
              <w:rPr>
                <w:rFonts w:hint="eastAsia"/>
              </w:rPr>
              <w:t xml:space="preserve">压力管道  </w:t>
            </w:r>
            <w:r>
              <w:rPr>
                <w:rFonts w:ascii="Wingdings" w:hAnsi="Wingdings"/>
              </w:rPr>
              <w:t>□</w:t>
            </w:r>
            <w:r>
              <w:rPr>
                <w:rFonts w:hint="eastAsia"/>
              </w:rPr>
              <w:t xml:space="preserve">不适用 </w:t>
            </w:r>
          </w:p>
          <w:p>
            <w:pPr>
              <w:shd w:val="clear" w:color="auto" w:fill="EBF1DE" w:themeFill="accent3" w:themeFillTint="32"/>
            </w:pPr>
            <w:r>
              <w:rPr>
                <w:rFonts w:hint="eastAsia"/>
              </w:rPr>
              <w:t>辅助场所：</w:t>
            </w:r>
            <w:r>
              <w:rPr>
                <w:rFonts w:ascii="Wingdings" w:hAnsi="Wingdings"/>
              </w:rPr>
              <w:t>□</w:t>
            </w:r>
            <w:r>
              <w:rPr>
                <w:rFonts w:hint="eastAsia"/>
              </w:rPr>
              <w:t xml:space="preserve">高压配电室 ■低压配电室 </w:t>
            </w:r>
            <w:r>
              <w:rPr>
                <w:rFonts w:ascii="Wingdings" w:hAnsi="Wingdings"/>
              </w:rPr>
              <w:sym w:font="Wingdings 2" w:char="00A3"/>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shd w:val="clear" w:color="auto" w:fill="EBF1DE" w:themeFill="accent3" w:themeFillTint="32"/>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 xml:space="preserve">其他  </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压力表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进行了定期校准/检定  ■未进行定期校准/检定的有：</w:t>
            </w:r>
            <w:r>
              <w:rPr>
                <w:rFonts w:hint="eastAsia"/>
                <w:u w:val="single"/>
              </w:rPr>
              <w:t xml:space="preserve">  </w:t>
            </w:r>
            <w:r>
              <w:rPr>
                <w:rFonts w:hint="eastAsia"/>
                <w:u w:val="single"/>
                <w:lang w:val="en-US" w:eastAsia="zh-CN"/>
              </w:rPr>
              <w:t>压力表</w:t>
            </w:r>
            <w:r>
              <w:rPr>
                <w:rFonts w:hint="eastAsia"/>
                <w:u w:val="single"/>
              </w:rPr>
              <w:t xml:space="preserve"> </w:t>
            </w:r>
            <w:r>
              <w:rPr>
                <w:rFonts w:hint="eastAsia" w:ascii="Times New Roman" w:hAnsi="Times New Roman" w:eastAsia="宋体" w:cs="Times New Roman"/>
                <w:color w:val="auto"/>
                <w:highlight w:val="none"/>
                <w:u w:val="single"/>
                <w:lang w:val="en-US" w:eastAsia="zh-CN"/>
              </w:rPr>
              <w:t>编号</w:t>
            </w:r>
            <w:r>
              <w:rPr>
                <w:rFonts w:hint="eastAsia"/>
                <w:color w:val="auto"/>
                <w:highlight w:val="none"/>
                <w:u w:val="single"/>
              </w:rPr>
              <w:t>13LH006</w:t>
            </w:r>
            <w:r>
              <w:rPr>
                <w:rFonts w:hint="eastAsia"/>
                <w:color w:val="auto"/>
                <w:highlight w:val="none"/>
                <w:u w:val="single"/>
                <w:lang w:val="en-US" w:eastAsia="zh-CN"/>
              </w:rPr>
              <w:t xml:space="preserve"> 检定证书有效期为2021年10月21日，现场沟通已及时申请检定，但未见到相关证据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 xml:space="preserve">特种作业人员：■电工 </w:t>
            </w:r>
            <w:r>
              <w:rPr>
                <w:rFonts w:ascii="Wingdings" w:hAnsi="Wingdings"/>
              </w:rPr>
              <w:sym w:font="Wingdings 2" w:char="00A3"/>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EBF1DE" w:themeFill="accent3"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asciiTheme="minorEastAsia" w:hAnsiTheme="minorEastAsia" w:eastAsiaTheme="minorEastAsia"/>
                <w:b/>
                <w:lang w:val="en-US"/>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■工艺流程图 ■作业文件  </w:t>
            </w:r>
            <w:r>
              <w:rPr>
                <w:rFonts w:ascii="Wingdings" w:hAnsi="Wingdings"/>
              </w:rPr>
              <w:t>□</w:t>
            </w:r>
            <w:r>
              <w:rPr>
                <w:rFonts w:hint="eastAsia"/>
              </w:rPr>
              <w:t xml:space="preserve">MSDS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ascii="Wingdings" w:hAnsi="Wingdings"/>
              </w:rPr>
              <w:t>□</w:t>
            </w:r>
            <w:r>
              <w:rPr>
                <w:rFonts w:hint="eastAsia"/>
              </w:rPr>
              <w:t xml:space="preserve">Rohs  </w:t>
            </w:r>
            <w:r>
              <w:rPr>
                <w:rFonts w:ascii="Wingdings" w:hAnsi="Wingdings"/>
              </w:rPr>
              <w:t>□</w:t>
            </w:r>
            <w:r>
              <w:rPr>
                <w:rFonts w:hint="eastAsia"/>
              </w:rPr>
              <w:t xml:space="preserve">MSDS  ■EMS认证证书  </w:t>
            </w:r>
            <w:r>
              <w:rPr>
                <w:rFonts w:ascii="Wingdings" w:hAnsi="Wingdings"/>
              </w:rPr>
              <w:t>□</w:t>
            </w:r>
            <w:r>
              <w:rPr>
                <w:rFonts w:hint="eastAsia"/>
              </w:rPr>
              <w:t xml:space="preserve">特殊包装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无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施工 </w:t>
            </w:r>
            <w:r>
              <w:rPr>
                <w:rFonts w:ascii="Wingdings" w:hAnsi="Wingdings"/>
              </w:rPr>
              <w:t>□</w:t>
            </w:r>
            <w:r>
              <w:rPr>
                <w:rFonts w:hint="eastAsia"/>
              </w:rPr>
              <w:t xml:space="preserve">设备维保 </w:t>
            </w:r>
            <w:r>
              <w:rPr>
                <w:rFonts w:hint="eastAsia"/>
                <w:color w:val="0000FF"/>
              </w:rPr>
              <w:t xml:space="preserve"> ■运输</w:t>
            </w:r>
            <w:r>
              <w:rPr>
                <w:rFonts w:hint="eastAsia"/>
              </w:rPr>
              <w:t xml:space="preserve">  </w:t>
            </w:r>
            <w:r>
              <w:rPr>
                <w:rFonts w:ascii="Wingdings" w:hAnsi="Wingdings"/>
              </w:rPr>
              <w:t>□</w:t>
            </w:r>
            <w:r>
              <w:rPr>
                <w:rFonts w:hint="eastAsia"/>
              </w:rPr>
              <w:t>其他</w:t>
            </w:r>
          </w:p>
          <w:p>
            <w:pPr>
              <w:shd w:val="clear" w:color="auto" w:fill="EBF1DE" w:themeFill="accent3" w:themeFillTint="32"/>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t>节约用电</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t>节约用水</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t>排入市政管道</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设备</w:t>
                  </w:r>
                  <w:r>
                    <w:t>降噪减震</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分类收集处理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除尘器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应急预案</w:t>
                  </w:r>
                  <w:r>
                    <w:rPr>
                      <w:rFonts w:hint="eastAsia"/>
                    </w:rPr>
                    <w:t>、</w:t>
                  </w:r>
                  <w:r>
                    <w:t>消防器材</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 xml:space="preserve">对生产和服务提供过程的环境因素控制■符合要求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电梯定期检定报告</w:t>
            </w:r>
            <w:r>
              <w:rPr>
                <w:rFonts w:hint="eastAsia"/>
                <w:u w:val="single"/>
              </w:rPr>
              <w:t xml:space="preserve"> </w:t>
            </w:r>
            <w:r>
              <w:rPr>
                <w:rFonts w:hint="eastAsia"/>
                <w:u w:val="single"/>
                <w:lang w:val="en-US" w:eastAsia="zh-CN"/>
              </w:rPr>
              <w:t>下次检定日期2021年12月 结论合格</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 xml:space="preserve">采用的标识方式：■MSDS </w:t>
            </w:r>
            <w:r>
              <w:rPr>
                <w:rFonts w:ascii="Wingdings" w:hAnsi="Wingdings"/>
              </w:rPr>
              <w:t>□</w:t>
            </w:r>
            <w:r>
              <w:rPr>
                <w:rFonts w:hint="eastAsia"/>
              </w:rPr>
              <w:t xml:space="preserve">危害告知标牌  </w:t>
            </w:r>
            <w:r>
              <w:rPr>
                <w:rFonts w:ascii="Wingdings" w:hAnsi="Wingdings"/>
              </w:rPr>
              <w:t>□</w:t>
            </w:r>
            <w:r>
              <w:rPr>
                <w:rFonts w:hint="eastAsia"/>
              </w:rPr>
              <w:t>其他</w:t>
            </w:r>
          </w:p>
          <w:p>
            <w:pPr>
              <w:shd w:val="clear" w:color="auto" w:fill="EBF1DE" w:themeFill="accent3"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 xml:space="preserve">危化品：■符合要求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pPr>
              <w:shd w:val="clear" w:color="auto" w:fill="EBF1DE" w:themeFill="accent3"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lang w:val="en-US" w:eastAsia="zh-CN"/>
              </w:rPr>
              <w:t>无</w:t>
            </w:r>
            <w:r>
              <w:rPr>
                <w:rFonts w:hint="eastAsia"/>
              </w:rPr>
              <w:t xml:space="preserve"> </w:t>
            </w:r>
          </w:p>
          <w:p>
            <w:pPr>
              <w:shd w:val="clear" w:color="auto" w:fill="EBF1DE" w:themeFill="accent3"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环保设备故障 </w:t>
            </w:r>
            <w:r>
              <w:rPr>
                <w:rFonts w:ascii="Wingdings" w:hAnsi="Wingdings"/>
              </w:rPr>
              <w:t>□</w:t>
            </w:r>
            <w:r>
              <w:rPr>
                <w:rFonts w:hint="eastAsia"/>
              </w:rPr>
              <w:t xml:space="preserve">停水停电 </w:t>
            </w:r>
            <w:r>
              <w:rPr>
                <w:rFonts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1</w:t>
            </w:r>
            <w:r>
              <w:rPr>
                <w:rFonts w:hint="eastAsia"/>
                <w:u w:val="single"/>
                <w:lang w:val="en-US" w:eastAsia="zh-CN"/>
              </w:rPr>
              <w:t>0</w:t>
            </w:r>
            <w:r>
              <w:rPr>
                <w:rFonts w:hint="eastAsia"/>
                <w:u w:val="single"/>
              </w:rPr>
              <w:t xml:space="preserve">  </w:t>
            </w:r>
            <w:r>
              <w:rPr>
                <w:rFonts w:hint="eastAsia"/>
              </w:rPr>
              <w:t>日进行了</w:t>
            </w:r>
            <w:r>
              <w:rPr>
                <w:rFonts w:hint="eastAsia"/>
                <w:u w:val="single"/>
              </w:rPr>
              <w:t xml:space="preserve">   消防应急预案  </w:t>
            </w:r>
            <w:r>
              <w:rPr>
                <w:rFonts w:hint="eastAsia"/>
              </w:rPr>
              <w:t>的演练；</w:t>
            </w:r>
          </w:p>
          <w:p>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 ：</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w:t>
            </w:r>
          </w:p>
          <w:p>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 xml:space="preserve">实施的检测：■企业自检 第三方监测 ■主管部门抽查  </w:t>
            </w:r>
            <w:r>
              <w:rPr>
                <w:rFonts w:ascii="Wingdings" w:hAnsi="Wingdings"/>
              </w:rPr>
              <w:t>□</w:t>
            </w:r>
            <w:r>
              <w:rPr>
                <w:rFonts w:hint="eastAsia"/>
              </w:rPr>
              <w:t xml:space="preserve">其他  </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若是组织多场所/临时场所：（按照组织的实际情况选择）无</w:t>
            </w:r>
          </w:p>
          <w:p>
            <w:pPr>
              <w:shd w:val="clear" w:color="auto" w:fill="EBF1DE" w:themeFill="accent3"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若是多班次操作：（按照组织的实际情况选择）无</w:t>
            </w:r>
          </w:p>
          <w:p>
            <w:pPr>
              <w:shd w:val="clear" w:color="auto" w:fill="EBF1DE" w:themeFill="accent3" w:themeFillTint="32"/>
            </w:pPr>
            <w:r>
              <w:rPr>
                <w:rFonts w:ascii="Wingdings" w:hAnsi="Wingdings"/>
              </w:rPr>
              <w:t>□</w:t>
            </w:r>
            <w:r>
              <w:rPr>
                <w:rFonts w:hint="eastAsia"/>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26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 xml:space="preserve">检测结果不合格■自我检查的结果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pPr>
              <w:shd w:val="clear" w:color="auto" w:fill="EBF1DE" w:themeFill="accent3" w:themeFillTint="32"/>
            </w:pPr>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3</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■绩效■工艺■设备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组织应明确相关职业健康安全管理体系的范围；（详见第二条款审核范围）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□危化品管理■特种设备管理 </w:t>
            </w:r>
          </w:p>
          <w:p>
            <w:pPr>
              <w:spacing w:before="40" w:after="40"/>
            </w:pPr>
            <w:r>
              <w:rPr>
                <w:rFonts w:hint="eastAsia"/>
              </w:rPr>
              <w:t>□安评三同时 □职评三同时 □其他</w:t>
            </w:r>
          </w:p>
          <w:p>
            <w:pPr>
              <w:spacing w:before="40" w:after="40"/>
              <w:rPr>
                <w:b/>
                <w:bCs/>
              </w:rPr>
            </w:pPr>
            <w:r>
              <w:rPr>
                <w:rFonts w:hint="eastAsia"/>
                <w:b/>
                <w:bCs/>
              </w:rPr>
              <w:t>影</w:t>
            </w:r>
            <w:r>
              <w:rPr>
                <w:rFonts w:hint="eastAsia"/>
                <w:b/>
                <w:bCs/>
                <w:highlight w:val="none"/>
              </w:rPr>
              <w:t>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cs="宋体" w:asciiTheme="minorEastAsia" w:hAnsiTheme="minorEastAsia" w:eastAsiaTheme="minorEastAsia"/>
                <w:szCs w:val="21"/>
                <w:u w:val="single"/>
                <w:lang w:val="en-US" w:eastAsia="zh-CN"/>
              </w:rPr>
            </w:pPr>
            <w:r>
              <w:rPr>
                <w:rFonts w:hint="eastAsia"/>
              </w:rPr>
              <w:t>最高管理者制定了文件化的职业健康安全管理体系方针：</w:t>
            </w:r>
            <w:r>
              <w:rPr>
                <w:rFonts w:hint="eastAsia"/>
                <w:u w:val="single"/>
              </w:rPr>
              <w:t xml:space="preserve">  </w:t>
            </w:r>
            <w:r>
              <w:rPr>
                <w:rFonts w:hint="eastAsia" w:cs="宋体" w:asciiTheme="minorEastAsia" w:hAnsiTheme="minorEastAsia" w:eastAsiaTheme="minorEastAsia"/>
                <w:szCs w:val="21"/>
                <w:u w:val="single"/>
                <w:lang w:val="en-US" w:eastAsia="zh-CN"/>
              </w:rPr>
              <w:t>职业健康安全方针：</w:t>
            </w:r>
          </w:p>
          <w:p>
            <w:pPr>
              <w:spacing w:line="280" w:lineRule="exact"/>
              <w:ind w:firstLine="420" w:firstLineChars="200"/>
              <w:rPr>
                <w:u w:val="single"/>
              </w:rPr>
            </w:pPr>
            <w:r>
              <w:rPr>
                <w:rFonts w:hint="eastAsia" w:cs="宋体" w:asciiTheme="minorEastAsia" w:hAnsiTheme="minorEastAsia" w:eastAsiaTheme="minorEastAsia"/>
                <w:szCs w:val="21"/>
                <w:u w:val="single"/>
                <w:lang w:val="en-US" w:eastAsia="zh-CN"/>
              </w:rPr>
              <w:t>预防为主、消除隐患、遵守法规、持续改进，确保员工健康安全。</w:t>
            </w:r>
            <w:r>
              <w:rPr>
                <w:rFonts w:hint="eastAsia"/>
                <w:u w:val="single"/>
              </w:rPr>
              <w:t xml:space="preserve">   </w:t>
            </w:r>
          </w:p>
          <w:p>
            <w:pPr>
              <w:ind w:firstLine="210" w:firstLineChars="100"/>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曾伟平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1.紧急状态事件未识别或识别不充分</w:t>
                  </w:r>
                </w:p>
              </w:tc>
              <w:tc>
                <w:tcPr>
                  <w:tcW w:w="3965" w:type="dxa"/>
                  <w:vAlign w:val="center"/>
                </w:tcPr>
                <w:p>
                  <w:pPr>
                    <w:rPr>
                      <w:rFonts w:ascii="宋体" w:hAnsi="宋体" w:cs="宋体"/>
                      <w:sz w:val="20"/>
                      <w:szCs w:val="20"/>
                    </w:rPr>
                  </w:pPr>
                  <w:r>
                    <w:rPr>
                      <w:rFonts w:hint="eastAsia"/>
                      <w:sz w:val="20"/>
                      <w:szCs w:val="20"/>
                    </w:rPr>
                    <w:t xml:space="preserve">制定应急准备与响应管规定明确紧急事件的范围:火灾 </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2.针对紧急事件未制定应急计划或应急计划不合理</w:t>
                  </w:r>
                </w:p>
              </w:tc>
              <w:tc>
                <w:tcPr>
                  <w:tcW w:w="3965" w:type="dxa"/>
                  <w:vAlign w:val="center"/>
                </w:tcPr>
                <w:p>
                  <w:pPr>
                    <w:rPr>
                      <w:rFonts w:ascii="宋体" w:hAnsi="宋体" w:cs="宋体"/>
                      <w:sz w:val="20"/>
                      <w:szCs w:val="20"/>
                    </w:rPr>
                  </w:pPr>
                  <w:r>
                    <w:rPr>
                      <w:rFonts w:hint="eastAsia"/>
                      <w:sz w:val="20"/>
                      <w:szCs w:val="20"/>
                    </w:rPr>
                    <w:t>制定应急计划/预案,并定期演习评价改进</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3.应急计划无法进行响应</w:t>
                  </w:r>
                </w:p>
              </w:tc>
              <w:tc>
                <w:tcPr>
                  <w:tcW w:w="3965" w:type="dxa"/>
                  <w:vAlign w:val="center"/>
                </w:tcPr>
                <w:p>
                  <w:pPr>
                    <w:rPr>
                      <w:rFonts w:ascii="宋体" w:hAnsi="宋体" w:cs="宋体"/>
                      <w:sz w:val="20"/>
                      <w:szCs w:val="20"/>
                    </w:rPr>
                  </w:pPr>
                  <w:r>
                    <w:rPr>
                      <w:rFonts w:hint="eastAsia"/>
                      <w:sz w:val="20"/>
                      <w:szCs w:val="20"/>
                    </w:rPr>
                    <w:t>在可能发生紧急事件的场所揭示应急联络网,定期培训和演习评价</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w:t>
            </w:r>
            <w:r>
              <w:rPr>
                <w:rFonts w:hint="eastAsia"/>
                <w:lang w:val="en-US" w:eastAsia="zh-CN"/>
              </w:rPr>
              <w:t xml:space="preserve"> </w:t>
            </w:r>
            <w:r>
              <w:rPr>
                <w:rFonts w:hint="eastAsia"/>
              </w:rPr>
              <w:t>■粉尘  □危险作业 □高低温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r>
              <w:rPr>
                <w:rFonts w:hint="eastAsia"/>
              </w:rPr>
              <w:t xml:space="preserve"> </w:t>
            </w:r>
          </w:p>
          <w:p>
            <w:r>
              <w:rPr>
                <w:rFonts w:hint="eastAsia"/>
              </w:rPr>
              <w:t xml:space="preserve">□安全生产许可证编号：                   </w:t>
            </w:r>
          </w:p>
          <w:p>
            <w:r>
              <w:rPr>
                <w:rFonts w:hint="eastAsia"/>
              </w:rPr>
              <w:t xml:space="preserve">□安全预评估报告日期：  </w:t>
            </w:r>
          </w:p>
          <w:p>
            <w:r>
              <w:rPr>
                <w:rFonts w:hint="eastAsia"/>
              </w:rPr>
              <w:sym w:font="Wingdings 2" w:char="00A3"/>
            </w:r>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t>■消防验收/备案证明日期：</w:t>
            </w:r>
            <w:r>
              <w:rPr>
                <w:rFonts w:hint="eastAsia"/>
                <w:lang w:val="en-US" w:eastAsia="zh-CN"/>
              </w:rPr>
              <w:t>2014年1月23日</w:t>
            </w:r>
          </w:p>
          <w:p>
            <w:pPr>
              <w:rPr>
                <w:highlight w:val="cyan"/>
              </w:rPr>
            </w:pP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w:t>
            </w:r>
            <w:r>
              <w:rPr>
                <w:rFonts w:hint="eastAsia"/>
                <w:lang w:val="en-US" w:eastAsia="zh-CN"/>
              </w:rPr>
              <w:t xml:space="preserve"> </w:t>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4550"/>
              <w:gridCol w:w="113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4" w:type="dxa"/>
                  <w:shd w:val="clear" w:color="auto" w:fill="auto"/>
                </w:tcPr>
                <w:p>
                  <w:pPr>
                    <w:rPr>
                      <w:rFonts w:ascii="宋体" w:hAnsi="宋体"/>
                    </w:rPr>
                  </w:pPr>
                  <w:r>
                    <w:rPr>
                      <w:rFonts w:hint="eastAsia"/>
                    </w:rPr>
                    <w:t>职业健康安全</w:t>
                  </w:r>
                  <w:r>
                    <w:rPr>
                      <w:rFonts w:hint="eastAsia" w:ascii="宋体" w:hAnsi="宋体"/>
                    </w:rPr>
                    <w:t>目标</w:t>
                  </w:r>
                </w:p>
              </w:tc>
              <w:tc>
                <w:tcPr>
                  <w:tcW w:w="4550" w:type="dxa"/>
                  <w:shd w:val="clear" w:color="auto" w:fill="auto"/>
                </w:tcPr>
                <w:p>
                  <w:pPr>
                    <w:rPr>
                      <w:rFonts w:ascii="宋体" w:hAnsi="宋体"/>
                    </w:rPr>
                  </w:pPr>
                  <w:r>
                    <w:rPr>
                      <w:rFonts w:hint="eastAsia" w:ascii="宋体" w:hAnsi="宋体"/>
                    </w:rPr>
                    <w:t>控制措施</w:t>
                  </w:r>
                </w:p>
              </w:tc>
              <w:tc>
                <w:tcPr>
                  <w:tcW w:w="1137" w:type="dxa"/>
                  <w:shd w:val="clear" w:color="auto" w:fill="auto"/>
                </w:tcPr>
                <w:p>
                  <w:pPr>
                    <w:rPr>
                      <w:rFonts w:ascii="宋体" w:hAnsi="宋体"/>
                    </w:rPr>
                  </w:pPr>
                  <w:r>
                    <w:rPr>
                      <w:rFonts w:hint="eastAsia" w:ascii="宋体" w:hAnsi="宋体"/>
                    </w:rPr>
                    <w:t>责任部门</w:t>
                  </w:r>
                </w:p>
              </w:tc>
              <w:tc>
                <w:tcPr>
                  <w:tcW w:w="1461" w:type="dxa"/>
                  <w:shd w:val="clear" w:color="auto" w:fill="auto"/>
                </w:tcPr>
                <w:p>
                  <w:pPr>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shd w:val="clear" w:color="auto" w:fill="auto"/>
                  <w:vAlign w:val="center"/>
                </w:tcPr>
                <w:p>
                  <w:pPr>
                    <w:spacing w:line="360" w:lineRule="auto"/>
                    <w:jc w:val="both"/>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职业病为0</w:t>
                  </w:r>
                </w:p>
                <w:p>
                  <w:pPr>
                    <w:spacing w:line="360" w:lineRule="auto"/>
                    <w:ind w:firstLine="205" w:firstLineChars="98"/>
                    <w:jc w:val="center"/>
                    <w:rPr>
                      <w:rFonts w:hint="eastAsia" w:ascii="Times New Roman" w:hAnsi="Times New Roman" w:eastAsia="宋体" w:cs="Times New Roman"/>
                      <w:kern w:val="2"/>
                      <w:sz w:val="21"/>
                      <w:szCs w:val="24"/>
                      <w:lang w:val="en-US" w:eastAsia="zh-CN" w:bidi="ar-SA"/>
                    </w:rPr>
                  </w:pPr>
                </w:p>
              </w:tc>
              <w:tc>
                <w:tcPr>
                  <w:tcW w:w="4550"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1.审查确定应配发劳保用品岗位</w:t>
                  </w:r>
                </w:p>
              </w:tc>
              <w:tc>
                <w:tcPr>
                  <w:tcW w:w="1137" w:type="dxa"/>
                  <w:vMerge w:val="restart"/>
                  <w:shd w:val="clear" w:color="auto" w:fill="auto"/>
                  <w:vAlign w:val="center"/>
                </w:tcPr>
                <w:p>
                  <w:pPr>
                    <w:rPr>
                      <w:rFonts w:hint="default" w:eastAsia="宋体"/>
                      <w:lang w:val="en-US" w:eastAsia="zh-CN"/>
                    </w:rPr>
                  </w:pPr>
                  <w:r>
                    <w:rPr>
                      <w:rFonts w:hint="eastAsia"/>
                      <w:lang w:val="en-US" w:eastAsia="zh-CN"/>
                    </w:rPr>
                    <w:t>行政部</w:t>
                  </w:r>
                </w:p>
              </w:tc>
              <w:tc>
                <w:tcPr>
                  <w:tcW w:w="1461" w:type="dxa"/>
                  <w:vMerge w:val="restart"/>
                  <w:shd w:val="clear" w:color="auto" w:fill="auto"/>
                </w:tcPr>
                <w:p>
                  <w:pPr>
                    <w:pStyle w:val="24"/>
                  </w:pPr>
                  <w:r>
                    <w:rPr>
                      <w:rFonts w:hint="eastAsia" w:ascii="Times New Roman" w:hAnsi="Times New Roman" w:eastAsia="宋体" w:cs="Times New Roman"/>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shd w:val="clear" w:color="auto" w:fill="auto"/>
                  <w:vAlign w:val="center"/>
                </w:tcPr>
                <w:p/>
              </w:tc>
              <w:tc>
                <w:tcPr>
                  <w:tcW w:w="4550"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2.购买相应的劳保用品，并进行发放、相关作业岗位100%配备</w:t>
                  </w:r>
                </w:p>
              </w:tc>
              <w:tc>
                <w:tcPr>
                  <w:tcW w:w="1137" w:type="dxa"/>
                  <w:vMerge w:val="continue"/>
                  <w:shd w:val="clear" w:color="auto" w:fill="auto"/>
                  <w:vAlign w:val="center"/>
                </w:tcPr>
                <w:p/>
              </w:tc>
              <w:tc>
                <w:tcPr>
                  <w:tcW w:w="1461" w:type="dxa"/>
                  <w:vMerge w:val="continue"/>
                  <w:shd w:val="clear" w:color="auto" w:fill="auto"/>
                </w:tcPr>
                <w:p>
                  <w:pPr>
                    <w:pStyle w:val="24"/>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shd w:val="clear" w:color="auto" w:fill="auto"/>
                  <w:vAlign w:val="center"/>
                </w:tcPr>
                <w:p/>
              </w:tc>
              <w:tc>
                <w:tcPr>
                  <w:tcW w:w="4550"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3.讲解各岗位日常接触的危害因素以及使用劳保用品的必要性</w:t>
                  </w:r>
                </w:p>
              </w:tc>
              <w:tc>
                <w:tcPr>
                  <w:tcW w:w="1137" w:type="dxa"/>
                  <w:vMerge w:val="continue"/>
                  <w:shd w:val="clear" w:color="auto" w:fill="auto"/>
                  <w:vAlign w:val="center"/>
                </w:tcPr>
                <w:p/>
              </w:tc>
              <w:tc>
                <w:tcPr>
                  <w:tcW w:w="146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tc>
              <w:tc>
                <w:tcPr>
                  <w:tcW w:w="4550"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4.监督员工劳保用品的日常配戴使用与管理情况</w:t>
                  </w:r>
                </w:p>
              </w:tc>
              <w:tc>
                <w:tcPr>
                  <w:tcW w:w="1137" w:type="dxa"/>
                  <w:vMerge w:val="continue"/>
                </w:tcPr>
                <w:p/>
              </w:tc>
              <w:tc>
                <w:tcPr>
                  <w:tcW w:w="14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tc>
              <w:tc>
                <w:tcPr>
                  <w:tcW w:w="4550"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5.员工定期(每年一次)进行体检</w:t>
                  </w:r>
                </w:p>
              </w:tc>
              <w:tc>
                <w:tcPr>
                  <w:tcW w:w="1137" w:type="dxa"/>
                  <w:vMerge w:val="continue"/>
                </w:tcPr>
                <w:p/>
              </w:tc>
              <w:tc>
                <w:tcPr>
                  <w:tcW w:w="14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widowControl/>
                    <w:jc w:val="left"/>
                    <w:textAlignment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color w:val="auto"/>
                      <w:sz w:val="21"/>
                      <w:szCs w:val="21"/>
                      <w:highlight w:val="none"/>
                      <w:lang w:val="en-US" w:eastAsia="zh-CN"/>
                    </w:rPr>
                    <w:t>杜绝死亡事故，工伤事故每年少于0起</w:t>
                  </w:r>
                </w:p>
              </w:tc>
              <w:tc>
                <w:tcPr>
                  <w:tcW w:w="4550" w:type="dxa"/>
                  <w:vAlign w:val="center"/>
                </w:tcPr>
                <w:p>
                  <w:pPr>
                    <w:rPr>
                      <w:rFonts w:hint="default" w:ascii="宋体" w:hAnsi="宋体" w:eastAsia="宋体"/>
                      <w:sz w:val="21"/>
                      <w:szCs w:val="21"/>
                      <w:lang w:val="en-US" w:eastAsia="zh-CN"/>
                    </w:rPr>
                  </w:pPr>
                  <w:r>
                    <w:rPr>
                      <w:rFonts w:hint="eastAsia" w:ascii="宋体" w:hAnsi="宋体"/>
                      <w:sz w:val="21"/>
                      <w:szCs w:val="21"/>
                      <w:lang w:val="en-US" w:eastAsia="zh-CN"/>
                    </w:rPr>
                    <w:t>日常运行控制、个体防护、应急准备和响应、目标指标和方案控制</w:t>
                  </w:r>
                </w:p>
              </w:tc>
              <w:tc>
                <w:tcPr>
                  <w:tcW w:w="1137" w:type="dxa"/>
                </w:tcPr>
                <w:p>
                  <w:pPr>
                    <w:rPr>
                      <w:rFonts w:hint="default" w:eastAsia="宋体"/>
                      <w:lang w:val="en-US" w:eastAsia="zh-CN"/>
                    </w:rPr>
                  </w:pPr>
                  <w:r>
                    <w:rPr>
                      <w:rFonts w:hint="eastAsia"/>
                      <w:lang w:val="en-US" w:eastAsia="zh-CN"/>
                    </w:rPr>
                    <w:t>各部门</w:t>
                  </w:r>
                </w:p>
              </w:tc>
              <w:tc>
                <w:tcPr>
                  <w:tcW w:w="1461" w:type="dxa"/>
                </w:tcPr>
                <w:p>
                  <w:pPr>
                    <w:rPr>
                      <w:rFonts w:hint="eastAsia" w:eastAsia="宋体"/>
                      <w:lang w:val="en-US" w:eastAsia="zh-CN"/>
                    </w:rPr>
                  </w:pPr>
                  <w:r>
                    <w:rPr>
                      <w:rFonts w:hint="eastAsia"/>
                      <w:lang w:val="en-US" w:eastAsia="zh-CN"/>
                    </w:rPr>
                    <w:t>0</w:t>
                  </w:r>
                </w:p>
              </w:tc>
            </w:tr>
          </w:tbl>
          <w:p>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  ■技术  ■财务资源。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 xml:space="preserve">建筑面积 </w:t>
            </w:r>
            <w:r>
              <w:rPr>
                <w:rFonts w:hint="eastAsia"/>
                <w:u w:val="single"/>
              </w:rPr>
              <w:t xml:space="preserve"> </w:t>
            </w:r>
            <w:r>
              <w:rPr>
                <w:rFonts w:hint="eastAsia"/>
                <w:u w:val="single"/>
                <w:lang w:val="en-US" w:eastAsia="zh-CN"/>
              </w:rPr>
              <w:t>9290</w:t>
            </w:r>
            <w:r>
              <w:rPr>
                <w:rFonts w:hint="eastAsia"/>
                <w:u w:val="single"/>
              </w:rPr>
              <w:t xml:space="preserve">  </w:t>
            </w:r>
            <w:r>
              <w:rPr>
                <w:rFonts w:hint="eastAsia"/>
              </w:rPr>
              <w:t xml:space="preserve">平方米；生产车间 </w:t>
            </w:r>
            <w:r>
              <w:rPr>
                <w:rFonts w:hint="eastAsia"/>
                <w:u w:val="single"/>
                <w:lang w:val="en-US" w:eastAsia="zh-CN"/>
              </w:rPr>
              <w:t>2</w:t>
            </w:r>
            <w:r>
              <w:rPr>
                <w:rFonts w:hint="eastAsia"/>
                <w:u w:val="single"/>
              </w:rPr>
              <w:t xml:space="preserve"> </w:t>
            </w:r>
            <w:r>
              <w:rPr>
                <w:rFonts w:hint="eastAsia"/>
              </w:rPr>
              <w:t xml:space="preserve">个；库房 </w:t>
            </w:r>
            <w:r>
              <w:rPr>
                <w:rFonts w:hint="eastAsia"/>
                <w:u w:val="single"/>
              </w:rPr>
              <w:t xml:space="preserve"> </w:t>
            </w:r>
            <w:r>
              <w:rPr>
                <w:rFonts w:hint="eastAsia"/>
                <w:u w:val="single"/>
                <w:lang w:val="en-US" w:eastAsia="zh-CN"/>
              </w:rPr>
              <w:t xml:space="preserve">3 </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米机设备、大米色选机、真空包装机、成套粮机设备、糙米调质机、小型成套碾米组合设备、缝包机组、烘干机、全自动定量包装机、电子配米机、原粮初清及重力除杂设备、创优数字调压震动送料控制器、晒场颗粒收集袋装机、小型砻谷机、收谷袋装机等。</w:t>
            </w:r>
            <w:r>
              <w:rPr>
                <w:rFonts w:hint="eastAsia"/>
                <w:u w:val="single"/>
              </w:rPr>
              <w:t xml:space="preserve">     （列举2~4种）</w:t>
            </w:r>
          </w:p>
          <w:p>
            <w:r>
              <w:rPr>
                <w:rFonts w:hint="eastAsia"/>
              </w:rPr>
              <w:t>主要安全装置有：</w:t>
            </w:r>
          </w:p>
          <w:p>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叉车</w:t>
            </w:r>
            <w:r>
              <w:rPr>
                <w:rFonts w:ascii="Wingdings" w:hAnsi="Wingdings"/>
              </w:rPr>
              <w:t>□</w:t>
            </w:r>
            <w:r>
              <w:rPr>
                <w:rFonts w:hint="eastAsia"/>
              </w:rPr>
              <w:t xml:space="preserve">行车 </w:t>
            </w:r>
            <w:r>
              <w:rPr>
                <w:rFonts w:ascii="Wingdings" w:hAnsi="Wingdings"/>
              </w:rPr>
              <w:t>□</w:t>
            </w:r>
            <w:r>
              <w:rPr>
                <w:rFonts w:hint="eastAsia"/>
              </w:rPr>
              <w:t xml:space="preserve">锅炉 ■电梯  ■压力容器  </w:t>
            </w:r>
            <w:r>
              <w:rPr>
                <w:rFonts w:ascii="Wingdings" w:hAnsi="Wingdings"/>
              </w:rPr>
              <w:t>□</w:t>
            </w:r>
            <w:r>
              <w:rPr>
                <w:rFonts w:hint="eastAsia"/>
              </w:rPr>
              <w:t xml:space="preserve">压力管道  </w:t>
            </w:r>
            <w:r>
              <w:rPr>
                <w:rFonts w:ascii="Wingdings" w:hAnsi="Wingdings"/>
              </w:rPr>
              <w:t>□</w:t>
            </w:r>
            <w:r>
              <w:rPr>
                <w:rFonts w:hint="eastAsia"/>
              </w:rPr>
              <w:t xml:space="preserve">不适用 </w:t>
            </w:r>
          </w:p>
          <w:p>
            <w:r>
              <w:rPr>
                <w:rFonts w:hint="eastAsia"/>
              </w:rPr>
              <w:t>辅助场所：</w:t>
            </w:r>
            <w:r>
              <w:rPr>
                <w:rFonts w:ascii="Wingdings" w:hAnsi="Wingdings"/>
              </w:rPr>
              <w:t>□</w:t>
            </w:r>
            <w:r>
              <w:rPr>
                <w:rFonts w:hint="eastAsia"/>
              </w:rPr>
              <w:t xml:space="preserve">高压配电室■低压配电室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r>
              <w:rPr>
                <w:rFonts w:hint="eastAsia"/>
              </w:rPr>
              <w:t>职业健康安全监测的计量器具有：</w:t>
            </w:r>
          </w:p>
          <w:p>
            <w:r>
              <w:rPr>
                <w:rFonts w:hint="eastAsia"/>
              </w:rPr>
              <w:t xml:space="preserve">■压力表 </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 xml:space="preserve">验电器 </w:t>
            </w:r>
            <w:r>
              <w:rPr>
                <w:rFonts w:ascii="Wingdings" w:hAnsi="Wingdings"/>
              </w:rPr>
              <w:t>□</w:t>
            </w:r>
            <w:r>
              <w:rPr>
                <w:rFonts w:hint="eastAsia"/>
              </w:rPr>
              <w:t xml:space="preserve">氧含量测定仪  </w:t>
            </w:r>
            <w:r>
              <w:rPr>
                <w:rFonts w:ascii="Wingdings" w:hAnsi="Wingdings"/>
              </w:rPr>
              <w:t>□</w:t>
            </w:r>
            <w:r>
              <w:rPr>
                <w:rFonts w:hint="eastAsia"/>
              </w:rPr>
              <w:t xml:space="preserve">声级计  </w:t>
            </w:r>
            <w:r>
              <w:rPr>
                <w:rFonts w:ascii="Wingdings" w:hAnsi="Wingdings"/>
              </w:rPr>
              <w:t>□</w:t>
            </w:r>
            <w:r>
              <w:rPr>
                <w:rFonts w:hint="eastAsia"/>
              </w:rPr>
              <w:t>不适用</w:t>
            </w:r>
          </w:p>
          <w:p>
            <w:pPr>
              <w:rPr>
                <w:u w:val="single"/>
              </w:rPr>
            </w:pPr>
            <w:r>
              <w:rPr>
                <w:rFonts w:hint="eastAsia"/>
              </w:rPr>
              <w:t xml:space="preserve">计量器具管理：■进行了定期校准/检定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
            <w:r>
              <w:rPr>
                <w:rFonts w:hint="eastAsia"/>
              </w:rPr>
              <w:t xml:space="preserve">对国家规定持证上岗的人员资质进行了有效的管理。  </w:t>
            </w:r>
          </w:p>
          <w:p>
            <w:r>
              <w:rPr>
                <w:rFonts w:hint="eastAsia"/>
              </w:rPr>
              <w:t>特种作业人员：■电工</w:t>
            </w:r>
            <w:r>
              <w:rPr>
                <w:rFonts w:hint="eastAsia"/>
                <w:lang w:val="en-US" w:eastAsia="zh-CN"/>
              </w:rPr>
              <w:t xml:space="preserve">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r>
              <w:rPr>
                <w:rFonts w:hint="eastAsia"/>
              </w:rPr>
              <w:t xml:space="preserve">特种设备作业人员：■叉车工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■MSDS   ■安全操作规程  ■外包控制要求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无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■运输  </w:t>
            </w:r>
            <w:r>
              <w:rPr>
                <w:rFonts w:ascii="Wingdings" w:hAnsi="Wingdings"/>
              </w:rPr>
              <w:t>□</w:t>
            </w:r>
            <w:r>
              <w:rPr>
                <w:rFonts w:hint="eastAsia"/>
              </w:rPr>
              <w:t>其他</w:t>
            </w:r>
          </w:p>
          <w:p>
            <w:pPr>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 xml:space="preserve">■漏电保护 </w:t>
                  </w:r>
                  <w:r>
                    <w:rPr>
                      <w:rFonts w:hint="eastAsia"/>
                    </w:rPr>
                    <w:sym w:font="Wingdings 2" w:char="00A3"/>
                  </w:r>
                  <w:r>
                    <w:rPr>
                      <w:rFonts w:hint="eastAsia"/>
                    </w:rPr>
                    <w:t>绝缘用具检测</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  ■穿戴劳保用品（防尘面罩）</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t>应急预案</w:t>
                  </w:r>
                  <w:r>
                    <w:rPr>
                      <w:rFonts w:hint="eastAsia"/>
                    </w:rPr>
                    <w:t>、</w:t>
                  </w:r>
                  <w:r>
                    <w:t>消防器材</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 xml:space="preserve">安全装置检查：■进行了定期检查  </w:t>
            </w:r>
            <w:r>
              <w:rPr>
                <w:rFonts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 xml:space="preserve">特种设备管理：■进行了定期检验  </w:t>
            </w:r>
            <w:r>
              <w:rPr>
                <w:rFonts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电梯定期检定报告</w:t>
            </w:r>
            <w:r>
              <w:rPr>
                <w:rFonts w:hint="eastAsia"/>
                <w:u w:val="single"/>
              </w:rPr>
              <w:t xml:space="preserve"> </w:t>
            </w:r>
            <w:r>
              <w:rPr>
                <w:rFonts w:hint="eastAsia"/>
                <w:u w:val="single"/>
                <w:lang w:val="en-US" w:eastAsia="zh-CN"/>
              </w:rPr>
              <w:t>下次检定日期2021年12月</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 xml:space="preserve">采用的标识方式：■MSDS </w:t>
            </w:r>
            <w:r>
              <w:rPr>
                <w:rFonts w:ascii="Wingdings" w:hAnsi="Wingdings"/>
              </w:rPr>
              <w:t>□</w:t>
            </w:r>
            <w:r>
              <w:rPr>
                <w:rFonts w:hint="eastAsia"/>
              </w:rPr>
              <w:t xml:space="preserve">危害告知标牌  </w:t>
            </w:r>
            <w:r>
              <w:rPr>
                <w:rFonts w:ascii="Wingdings" w:hAnsi="Wingdings"/>
              </w:rPr>
              <w:t>□</w:t>
            </w:r>
            <w:r>
              <w:rPr>
                <w:rFonts w:hint="eastAsia"/>
              </w:rPr>
              <w:t xml:space="preserve">其他  </w:t>
            </w:r>
          </w:p>
          <w:p>
            <w:pPr>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 xml:space="preserve">危化品：■符合要求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 无</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2021    </w:t>
            </w:r>
            <w:r>
              <w:rPr>
                <w:rFonts w:hint="eastAsia"/>
              </w:rPr>
              <w:t>年</w:t>
            </w:r>
            <w:r>
              <w:rPr>
                <w:rFonts w:hint="eastAsia"/>
                <w:u w:val="single"/>
              </w:rPr>
              <w:t xml:space="preserve">  4 </w:t>
            </w:r>
            <w:r>
              <w:rPr>
                <w:rFonts w:hint="eastAsia"/>
              </w:rPr>
              <w:t>月</w:t>
            </w:r>
            <w:r>
              <w:rPr>
                <w:rFonts w:hint="eastAsia"/>
                <w:u w:val="single"/>
              </w:rPr>
              <w:t xml:space="preserve">  18 </w:t>
            </w:r>
            <w:r>
              <w:rPr>
                <w:rFonts w:hint="eastAsia"/>
              </w:rPr>
              <w:t>日进行了</w:t>
            </w:r>
            <w:r>
              <w:rPr>
                <w:rFonts w:hint="eastAsia"/>
                <w:u w:val="single"/>
              </w:rPr>
              <w:t xml:space="preserve">  消防应急预案   </w:t>
            </w:r>
            <w:r>
              <w:rPr>
                <w:rFonts w:hint="eastAsia"/>
              </w:rPr>
              <w:t xml:space="preserve">的演练。 </w:t>
            </w:r>
          </w:p>
          <w:p>
            <w:r>
              <w:rPr>
                <w:rFonts w:hint="eastAsia"/>
              </w:rPr>
              <w:t xml:space="preserve"> </w:t>
            </w:r>
          </w:p>
          <w:p>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 ：</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实施的检测：■企业自检</w:t>
            </w:r>
            <w:r>
              <w:rPr>
                <w:rFonts w:hint="eastAsia"/>
                <w:lang w:val="en-US" w:eastAsia="zh-CN"/>
              </w:rPr>
              <w:t xml:space="preserve"> </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  无</w:t>
            </w:r>
          </w:p>
          <w:p>
            <w:r>
              <w:rPr>
                <w:rFonts w:hint="eastAsia"/>
              </w:rPr>
              <w:t>《作业场所有害物质监测报告》编号：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rPr>
                <w:rFonts w:hint="default" w:eastAsia="宋体"/>
                <w:lang w:val="en-US" w:eastAsia="zh-CN"/>
              </w:rPr>
            </w:pPr>
            <w:r>
              <w:rPr>
                <w:rFonts w:hint="eastAsia"/>
              </w:rPr>
              <w:t>职业病体检：</w:t>
            </w:r>
            <w:r>
              <w:rPr>
                <w:rFonts w:ascii="Wingdings" w:hAnsi="Wingdings"/>
              </w:rPr>
              <w:t>□</w:t>
            </w:r>
            <w:r>
              <w:rPr>
                <w:rFonts w:hint="eastAsia"/>
              </w:rPr>
              <w:t xml:space="preserve">入职 </w:t>
            </w:r>
            <w:r>
              <w:rPr>
                <w:rFonts w:ascii="Wingdings" w:hAnsi="Wingdings"/>
              </w:rPr>
              <w:sym w:font="Wingdings 2" w:char="00A3"/>
            </w:r>
            <w:r>
              <w:rPr>
                <w:rFonts w:hint="eastAsia"/>
              </w:rPr>
              <w:t>离职</w:t>
            </w:r>
            <w:r>
              <w:rPr>
                <w:rFonts w:hint="eastAsia"/>
                <w:lang w:val="en-US" w:eastAsia="zh-CN"/>
              </w:rPr>
              <w:t xml:space="preserve">  </w:t>
            </w:r>
            <w:r>
              <w:rPr>
                <w:rFonts w:ascii="Wingdings" w:hAnsi="Wingdings"/>
              </w:rPr>
              <w:sym w:font="Wingdings 2" w:char="00A3"/>
            </w:r>
            <w:r>
              <w:rPr>
                <w:rFonts w:hint="eastAsia"/>
              </w:rPr>
              <w:t>在职（定期）</w:t>
            </w:r>
            <w:r>
              <w:rPr>
                <w:rFonts w:hint="eastAsia"/>
                <w:lang w:val="en-US" w:eastAsia="zh-CN"/>
              </w:rPr>
              <w:t>不适用</w:t>
            </w:r>
          </w:p>
          <w:p>
            <w:r>
              <w:rPr>
                <w:rFonts w:hint="eastAsia"/>
              </w:rPr>
              <w:t>《职业病体检》编号：</w:t>
            </w:r>
            <w:r>
              <w:rPr>
                <w:rFonts w:hint="eastAsia"/>
                <w:u w:val="single"/>
              </w:rPr>
              <w:t xml:space="preserve">  </w:t>
            </w:r>
            <w:r>
              <w:rPr>
                <w:rFonts w:hint="eastAsia" w:ascii="宋体" w:hAnsi="宋体" w:cs="宋体"/>
                <w:szCs w:val="21"/>
                <w:u w:val="single"/>
                <w:lang w:val="en-US" w:eastAsia="zh-CN"/>
              </w:rPr>
              <w:t>无</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 无</w:t>
            </w:r>
          </w:p>
          <w:p>
            <w:r>
              <w:rPr>
                <w:rFonts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 无</w:t>
            </w:r>
          </w:p>
          <w:p>
            <w:r>
              <w:rPr>
                <w:rFonts w:ascii="Wingdings" w:hAnsi="Wingdings"/>
              </w:rPr>
              <w:t>□</w:t>
            </w:r>
            <w:r>
              <w:rPr>
                <w:rFonts w:hint="eastAsia"/>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   ■员工代表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9 </w:t>
            </w:r>
            <w:r>
              <w:rPr>
                <w:rFonts w:hint="eastAsia"/>
              </w:rPr>
              <w:t>月</w:t>
            </w:r>
            <w:r>
              <w:rPr>
                <w:rFonts w:hint="eastAsia"/>
                <w:u w:val="single"/>
              </w:rPr>
              <w:t xml:space="preserve"> 26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 xml:space="preserve">组织将管理评审的改进措施的信息沟通给：■相关的工作人员  ■员工代表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 无</w:t>
            </w:r>
          </w:p>
          <w:p>
            <w:r>
              <w:rPr>
                <w:rFonts w:ascii="Wingdings" w:hAnsi="Wingdings"/>
              </w:rPr>
              <w:t>□</w:t>
            </w:r>
            <w:r>
              <w:rPr>
                <w:rFonts w:hint="eastAsia"/>
              </w:rPr>
              <w:t xml:space="preserve">未遂事件   </w:t>
            </w:r>
            <w:r>
              <w:rPr>
                <w:rFonts w:ascii="Wingdings" w:hAnsi="Wingdings"/>
              </w:rPr>
              <w:t>□</w:t>
            </w:r>
            <w:r>
              <w:rPr>
                <w:rFonts w:hint="eastAsia"/>
              </w:rPr>
              <w:t xml:space="preserve">工伤事件  </w:t>
            </w:r>
            <w:r>
              <w:rPr>
                <w:rFonts w:ascii="Wingdings" w:hAnsi="Wingdings"/>
              </w:rPr>
              <w:t>□</w:t>
            </w:r>
            <w:r>
              <w:rPr>
                <w:rFonts w:hint="eastAsia"/>
              </w:rPr>
              <w:t xml:space="preserve">职业病体检   </w:t>
            </w:r>
            <w:r>
              <w:rPr>
                <w:rFonts w:ascii="Wingdings" w:hAnsi="Wingdings"/>
              </w:rPr>
              <w:t>□</w:t>
            </w:r>
            <w:r>
              <w:rPr>
                <w:rFonts w:hint="eastAsia"/>
              </w:rPr>
              <w:t xml:space="preserve">危化品泄露  </w:t>
            </w:r>
            <w:r>
              <w:rPr>
                <w:rFonts w:ascii="Wingdings" w:hAnsi="Wingdings"/>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 xml:space="preserve">组织将事件调查和纠正措施的信息沟通给：■相关的工作人员   ■员工代表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3</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0</w:t>
            </w:r>
          </w:p>
        </w:tc>
        <w:tc>
          <w:tcPr>
            <w:tcW w:w="769" w:type="dxa"/>
            <w:shd w:val="clear" w:color="auto" w:fill="F2DCDC" w:themeFill="accent2" w:themeFillTint="32"/>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tcBorders>
              <w:bottom w:val="single" w:color="auto" w:sz="4" w:space="0"/>
            </w:tcBorders>
            <w:shd w:val="clear" w:color="auto" w:fill="F2DCDC" w:themeFill="accent2" w:themeFillTint="32"/>
            <w:vAlign w:val="center"/>
          </w:tcPr>
          <w:p>
            <w:pPr>
              <w:rPr>
                <w:rFonts w:hint="eastAsia" w:eastAsia="宋体"/>
                <w:lang w:eastAsia="zh-CN"/>
              </w:rPr>
            </w:pPr>
            <w:r>
              <w:rPr>
                <w:rFonts w:hint="eastAsia"/>
              </w:rPr>
              <w:t>0</w:t>
            </w:r>
          </w:p>
        </w:tc>
        <w:tc>
          <w:tcPr>
            <w:tcW w:w="768" w:type="dxa"/>
            <w:tcBorders>
              <w:bottom w:val="single" w:color="auto" w:sz="4" w:space="0"/>
            </w:tcBorders>
            <w:shd w:val="clear" w:color="auto" w:fill="F2DCDC" w:themeFill="accent2" w:themeFillTint="32"/>
            <w:vAlign w:val="center"/>
          </w:tcPr>
          <w:p>
            <w:r>
              <w:rPr>
                <w:rFonts w:hint="eastAsia"/>
                <w:lang w:val="en-US" w:eastAsia="zh-CN"/>
              </w:rPr>
              <w:t>1</w:t>
            </w:r>
          </w:p>
        </w:tc>
        <w:tc>
          <w:tcPr>
            <w:tcW w:w="768" w:type="dxa"/>
            <w:tcBorders>
              <w:bottom w:val="single" w:color="auto" w:sz="4" w:space="0"/>
            </w:tcBorders>
            <w:shd w:val="clear" w:color="auto" w:fill="F2DCDC" w:themeFill="accent2" w:themeFillTint="32"/>
            <w:vAlign w:val="center"/>
          </w:tcPr>
          <w:p>
            <w:r>
              <w:rPr>
                <w:rFonts w:hint="eastAsia"/>
              </w:rPr>
              <w:t>0</w:t>
            </w:r>
          </w:p>
        </w:tc>
        <w:tc>
          <w:tcPr>
            <w:tcW w:w="769" w:type="dxa"/>
            <w:tcBorders>
              <w:bottom w:val="single" w:color="auto" w:sz="4" w:space="0"/>
            </w:tcBorders>
            <w:shd w:val="clear" w:color="auto" w:fill="F2DCDC" w:themeFill="accent2" w:themeFillTint="32"/>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r>
              <w:rPr>
                <w:rFonts w:hint="eastAsia"/>
              </w:rPr>
              <w:t>10.1</w:t>
            </w:r>
          </w:p>
        </w:tc>
        <w:tc>
          <w:tcPr>
            <w:tcW w:w="768" w:type="dxa"/>
            <w:shd w:val="clear" w:color="auto" w:fill="F2DCDC" w:themeFill="accent2" w:themeFillTint="32"/>
            <w:vAlign w:val="center"/>
          </w:tcPr>
          <w:p>
            <w:r>
              <w:rPr>
                <w:rFonts w:hint="eastAsia"/>
              </w:rPr>
              <w:t>10.2</w:t>
            </w:r>
          </w:p>
        </w:tc>
        <w:tc>
          <w:tcPr>
            <w:tcW w:w="768" w:type="dxa"/>
            <w:shd w:val="clear" w:color="auto" w:fill="F2DCDC" w:themeFill="accent2" w:themeFillTint="32"/>
            <w:vAlign w:val="center"/>
          </w:tcPr>
          <w:p>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pStyle w:val="13"/>
      </w:pPr>
    </w:p>
    <w:p>
      <w:pPr>
        <w:pStyle w:val="13"/>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C1BBF"/>
    <w:multiLevelType w:val="singleLevel"/>
    <w:tmpl w:val="B0FC1BBF"/>
    <w:lvl w:ilvl="0" w:tentative="0">
      <w:start w:val="13"/>
      <w:numFmt w:val="chineseCounting"/>
      <w:suff w:val="nothing"/>
      <w:lvlText w:val="%1、"/>
      <w:lvlJc w:val="left"/>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42202B"/>
    <w:rsid w:val="01434643"/>
    <w:rsid w:val="02247ACE"/>
    <w:rsid w:val="02792913"/>
    <w:rsid w:val="02E067E1"/>
    <w:rsid w:val="030A336A"/>
    <w:rsid w:val="033079FA"/>
    <w:rsid w:val="046231BC"/>
    <w:rsid w:val="05D201B0"/>
    <w:rsid w:val="06957BCC"/>
    <w:rsid w:val="088607CE"/>
    <w:rsid w:val="0AB265A5"/>
    <w:rsid w:val="0CF10068"/>
    <w:rsid w:val="0D02678E"/>
    <w:rsid w:val="0F196653"/>
    <w:rsid w:val="0F56294E"/>
    <w:rsid w:val="10AD3572"/>
    <w:rsid w:val="115B4135"/>
    <w:rsid w:val="13FD03A4"/>
    <w:rsid w:val="151F0FEB"/>
    <w:rsid w:val="160E0CA6"/>
    <w:rsid w:val="162F358B"/>
    <w:rsid w:val="18AB65D1"/>
    <w:rsid w:val="18B46E02"/>
    <w:rsid w:val="19C61D81"/>
    <w:rsid w:val="1AC04C7D"/>
    <w:rsid w:val="1AE7282C"/>
    <w:rsid w:val="1C0E2EB1"/>
    <w:rsid w:val="1C2555E3"/>
    <w:rsid w:val="1C4E6E53"/>
    <w:rsid w:val="1CC3143F"/>
    <w:rsid w:val="1CD221A8"/>
    <w:rsid w:val="1D4C4673"/>
    <w:rsid w:val="1DC96674"/>
    <w:rsid w:val="20824806"/>
    <w:rsid w:val="20D429A6"/>
    <w:rsid w:val="21675682"/>
    <w:rsid w:val="218329EB"/>
    <w:rsid w:val="21895DEE"/>
    <w:rsid w:val="2225473D"/>
    <w:rsid w:val="238207B1"/>
    <w:rsid w:val="23B86C85"/>
    <w:rsid w:val="248A3369"/>
    <w:rsid w:val="264703F3"/>
    <w:rsid w:val="265425C7"/>
    <w:rsid w:val="2671684A"/>
    <w:rsid w:val="269E134D"/>
    <w:rsid w:val="26B061DA"/>
    <w:rsid w:val="271719EC"/>
    <w:rsid w:val="278434CF"/>
    <w:rsid w:val="2B273863"/>
    <w:rsid w:val="2BC57499"/>
    <w:rsid w:val="2D486D14"/>
    <w:rsid w:val="303103A0"/>
    <w:rsid w:val="306B5437"/>
    <w:rsid w:val="31E0290D"/>
    <w:rsid w:val="31F11D97"/>
    <w:rsid w:val="33052B01"/>
    <w:rsid w:val="341668F0"/>
    <w:rsid w:val="34CB0D82"/>
    <w:rsid w:val="352D166D"/>
    <w:rsid w:val="353D6863"/>
    <w:rsid w:val="363713B7"/>
    <w:rsid w:val="36390C37"/>
    <w:rsid w:val="375B44E7"/>
    <w:rsid w:val="37895D42"/>
    <w:rsid w:val="37F800F2"/>
    <w:rsid w:val="382C354E"/>
    <w:rsid w:val="39345803"/>
    <w:rsid w:val="393F74D6"/>
    <w:rsid w:val="3976087D"/>
    <w:rsid w:val="3A523EED"/>
    <w:rsid w:val="3BFC2946"/>
    <w:rsid w:val="3E3E7246"/>
    <w:rsid w:val="3E881E89"/>
    <w:rsid w:val="41E71E56"/>
    <w:rsid w:val="41E81277"/>
    <w:rsid w:val="43584C7F"/>
    <w:rsid w:val="43782CD1"/>
    <w:rsid w:val="44047AD6"/>
    <w:rsid w:val="44CF7BA0"/>
    <w:rsid w:val="45F04BB7"/>
    <w:rsid w:val="49081893"/>
    <w:rsid w:val="498131B7"/>
    <w:rsid w:val="4A245EA1"/>
    <w:rsid w:val="4A354230"/>
    <w:rsid w:val="4C974D2D"/>
    <w:rsid w:val="4F11005F"/>
    <w:rsid w:val="4F7C5F2D"/>
    <w:rsid w:val="511A5D24"/>
    <w:rsid w:val="512027DB"/>
    <w:rsid w:val="51745CC7"/>
    <w:rsid w:val="51DF7347"/>
    <w:rsid w:val="52464F32"/>
    <w:rsid w:val="525B3EAF"/>
    <w:rsid w:val="52BA27BB"/>
    <w:rsid w:val="52FA663C"/>
    <w:rsid w:val="53395DD6"/>
    <w:rsid w:val="546A09E5"/>
    <w:rsid w:val="54EF7F4A"/>
    <w:rsid w:val="5523085D"/>
    <w:rsid w:val="5529510E"/>
    <w:rsid w:val="589917F1"/>
    <w:rsid w:val="5A192C09"/>
    <w:rsid w:val="5B166A4D"/>
    <w:rsid w:val="5B3E7BBB"/>
    <w:rsid w:val="5C3B6908"/>
    <w:rsid w:val="5CAD58A7"/>
    <w:rsid w:val="5FDC445C"/>
    <w:rsid w:val="609E371C"/>
    <w:rsid w:val="619150ED"/>
    <w:rsid w:val="61C94B16"/>
    <w:rsid w:val="62026F37"/>
    <w:rsid w:val="62500A46"/>
    <w:rsid w:val="62AA79A6"/>
    <w:rsid w:val="64983EBF"/>
    <w:rsid w:val="65640843"/>
    <w:rsid w:val="66370EBA"/>
    <w:rsid w:val="67576F59"/>
    <w:rsid w:val="687B36E7"/>
    <w:rsid w:val="688558EE"/>
    <w:rsid w:val="69066613"/>
    <w:rsid w:val="69C75178"/>
    <w:rsid w:val="6B2053A0"/>
    <w:rsid w:val="6EE90758"/>
    <w:rsid w:val="70C42535"/>
    <w:rsid w:val="717B1C83"/>
    <w:rsid w:val="7200164F"/>
    <w:rsid w:val="720F7F50"/>
    <w:rsid w:val="72432AD4"/>
    <w:rsid w:val="72ED0E00"/>
    <w:rsid w:val="74342B7E"/>
    <w:rsid w:val="75297DC8"/>
    <w:rsid w:val="75E8768E"/>
    <w:rsid w:val="77173D46"/>
    <w:rsid w:val="773C2AAB"/>
    <w:rsid w:val="798D4602"/>
    <w:rsid w:val="7BCA2C35"/>
    <w:rsid w:val="7BD02833"/>
    <w:rsid w:val="7C4D0079"/>
    <w:rsid w:val="7CAA10D2"/>
    <w:rsid w:val="7DD6409E"/>
    <w:rsid w:val="7EC17E8E"/>
    <w:rsid w:val="7FE20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9"/>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unhideWhenUsed/>
    <w:qFormat/>
    <w:uiPriority w:val="99"/>
    <w:pPr>
      <w:spacing w:line="420" w:lineRule="exact"/>
    </w:pPr>
    <w:rPr>
      <w:sz w:val="24"/>
      <w:szCs w:val="20"/>
    </w:rPr>
  </w:style>
  <w:style w:type="paragraph" w:styleId="5">
    <w:name w:val="Balloon Text"/>
    <w:basedOn w:val="1"/>
    <w:link w:val="17"/>
    <w:semiHidden/>
    <w:unhideWhenUsed/>
    <w:qFormat/>
    <w:uiPriority w:val="99"/>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2"/>
    <w:qFormat/>
    <w:uiPriority w:val="99"/>
    <w:rPr>
      <w:rFonts w:ascii="Times New Roman" w:hAnsi="Times New Roman" w:eastAsia="宋体" w:cs="Times New Roman"/>
      <w:sz w:val="18"/>
      <w:szCs w:val="18"/>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font11"/>
    <w:basedOn w:val="11"/>
    <w:qFormat/>
    <w:uiPriority w:val="0"/>
    <w:rPr>
      <w:rFonts w:hint="eastAsia" w:ascii="宋体" w:hAnsi="宋体" w:eastAsia="宋体" w:cs="宋体"/>
      <w:color w:val="000000"/>
      <w:sz w:val="21"/>
      <w:szCs w:val="21"/>
      <w:u w:val="none"/>
    </w:rPr>
  </w:style>
  <w:style w:type="character" w:customStyle="1" w:styleId="27">
    <w:name w:val="font31"/>
    <w:basedOn w:val="11"/>
    <w:qFormat/>
    <w:uiPriority w:val="0"/>
    <w:rPr>
      <w:rFonts w:hint="default" w:ascii="Times New Roman" w:hAnsi="Times New Roman" w:cs="Times New Roman"/>
      <w:color w:val="000000"/>
      <w:sz w:val="21"/>
      <w:szCs w:val="21"/>
      <w:u w:val="none"/>
    </w:rPr>
  </w:style>
  <w:style w:type="character" w:customStyle="1" w:styleId="28">
    <w:name w:val="font41"/>
    <w:basedOn w:val="11"/>
    <w:qFormat/>
    <w:uiPriority w:val="0"/>
    <w:rPr>
      <w:rFonts w:hint="eastAsia" w:ascii="宋体" w:hAnsi="宋体" w:eastAsia="宋体" w:cs="宋体"/>
      <w:color w:val="000000"/>
      <w:sz w:val="22"/>
      <w:szCs w:val="22"/>
      <w:u w:val="none"/>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2021-12-10T12:03:41Z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