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1112-2021-QEO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四川集栩农业有限公司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2021年11月13日 上午至2021年11月14日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陈兴平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ISC-JSZJ-409</w:t>
            </w:r>
          </w:p>
          <w:p>
            <w:pPr>
              <w:spacing w:line="240" w:lineRule="exact"/>
              <w:jc w:val="center"/>
              <w:rPr>
                <w:b/>
                <w:color w:val="000000"/>
                <w:szCs w:val="21"/>
              </w:rPr>
            </w:pPr>
            <w:r>
              <w:rPr>
                <w:b/>
                <w:color w:val="000000"/>
                <w:szCs w:val="21"/>
              </w:rPr>
              <w:t>ISC-JSZJ-409</w:t>
            </w:r>
          </w:p>
          <w:p>
            <w:pPr>
              <w:spacing w:line="240" w:lineRule="exact"/>
              <w:jc w:val="center"/>
              <w:rPr>
                <w:b/>
                <w:color w:val="000000"/>
                <w:szCs w:val="21"/>
              </w:rPr>
            </w:pPr>
            <w:r>
              <w:rPr>
                <w:b/>
                <w:color w:val="000000"/>
                <w:szCs w:val="21"/>
              </w:rPr>
              <w:t>ISC-JSZJ-409</w:t>
            </w:r>
          </w:p>
          <w:p>
            <w:pPr>
              <w:spacing w:line="240" w:lineRule="exact"/>
              <w:jc w:val="center"/>
              <w:rPr>
                <w:b/>
                <w:color w:val="000000"/>
                <w:szCs w:val="21"/>
              </w:rPr>
            </w:pPr>
            <w:r>
              <w:rPr>
                <w:b/>
                <w:color w:val="000000"/>
                <w:szCs w:val="21"/>
              </w:rPr>
              <w:t>四川嘉普信工程技术咨询有限公司</w:t>
            </w:r>
          </w:p>
        </w:tc>
        <w:tc>
          <w:tcPr>
            <w:tcW w:w="1140" w:type="dxa"/>
            <w:vAlign w:val="center"/>
          </w:tcPr>
          <w:p>
            <w:pPr>
              <w:spacing w:line="240" w:lineRule="exact"/>
              <w:jc w:val="center"/>
              <w:rPr>
                <w:b/>
                <w:color w:val="000000"/>
                <w:szCs w:val="21"/>
              </w:rPr>
            </w:pPr>
            <w:r>
              <w:rPr>
                <w:b/>
                <w:color w:val="000000"/>
                <w:szCs w:val="21"/>
              </w:rPr>
              <w:t>Q:01.03.00</w:t>
            </w:r>
          </w:p>
          <w:p>
            <w:pPr>
              <w:spacing w:line="240" w:lineRule="exact"/>
              <w:jc w:val="center"/>
              <w:rPr>
                <w:b/>
                <w:color w:val="000000"/>
                <w:szCs w:val="21"/>
              </w:rPr>
            </w:pPr>
            <w:r>
              <w:rPr>
                <w:b/>
                <w:color w:val="000000"/>
                <w:szCs w:val="21"/>
              </w:rPr>
              <w:t>E:01.03.00</w:t>
            </w:r>
          </w:p>
          <w:p>
            <w:pPr>
              <w:spacing w:line="240" w:lineRule="exact"/>
              <w:jc w:val="center"/>
              <w:rPr>
                <w:b/>
                <w:color w:val="000000"/>
                <w:szCs w:val="21"/>
              </w:rPr>
            </w:pPr>
            <w:r>
              <w:rPr>
                <w:b/>
                <w:color w:val="000000"/>
                <w:szCs w:val="21"/>
              </w:rPr>
              <w:t>O:01.03.00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四川集栩农业有限公司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四川省泸州市纳溪区云溪东路二段340号5幢3号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646000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hint="default" w:ascii="宋体" w:eastAsia="宋体"/>
                <w:b/>
                <w:color w:val="000000"/>
                <w:szCs w:val="21"/>
                <w:lang w:val="en-US" w:eastAsia="zh-CN"/>
              </w:rPr>
            </w:pPr>
            <w:r>
              <w:rPr>
                <w:rFonts w:hint="eastAsia" w:ascii="宋体" w:hAnsi="宋体"/>
                <w:b/>
                <w:color w:val="000000"/>
                <w:szCs w:val="21"/>
              </w:rPr>
              <w:t>经营地址</w:t>
            </w:r>
            <w:r>
              <w:rPr>
                <w:rFonts w:hint="eastAsia" w:ascii="宋体" w:hAnsi="宋体"/>
                <w:b/>
                <w:color w:val="000000"/>
                <w:szCs w:val="21"/>
                <w:lang w:val="en-US" w:eastAsia="zh-CN"/>
              </w:rPr>
              <w:t>/生产地址</w:t>
            </w:r>
          </w:p>
        </w:tc>
        <w:tc>
          <w:tcPr>
            <w:tcW w:w="5045" w:type="dxa"/>
            <w:gridSpan w:val="3"/>
          </w:tcPr>
          <w:p>
            <w:pPr>
              <w:spacing w:line="280" w:lineRule="exact"/>
              <w:rPr>
                <w:rFonts w:hint="eastAsia" w:ascii="宋体" w:eastAsia="宋体"/>
                <w:b/>
                <w:color w:val="000000"/>
                <w:szCs w:val="21"/>
                <w:lang w:val="en-US" w:eastAsia="zh-CN"/>
              </w:rPr>
            </w:pPr>
            <w:r>
              <w:rPr>
                <w:rFonts w:hint="eastAsia" w:ascii="宋体"/>
                <w:b/>
                <w:color w:val="000000"/>
                <w:szCs w:val="21"/>
                <w:lang w:val="en-US" w:eastAsia="zh-CN"/>
              </w:rPr>
              <w:t>四川省泸州市纳溪区云溪东路二段城市花园4号楼3号门市</w:t>
            </w:r>
            <w:bookmarkStart w:id="35" w:name="_GoBack"/>
            <w:bookmarkEnd w:id="35"/>
            <w:r>
              <w:rPr>
                <w:rFonts w:hint="eastAsia" w:ascii="宋体"/>
                <w:b/>
                <w:color w:val="000000"/>
                <w:szCs w:val="21"/>
                <w:lang w:val="en-US" w:eastAsia="zh-CN"/>
              </w:rPr>
              <w:t>/四川省泸州市纳溪区龙车镇塘口村</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646000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邓华光</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13568121188</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邓华光</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钟国会</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0"/>
              </w:rPr>
              <w:t>资质许可范围内老鹰茶苗、普通生态林苗木、普通经济林苗木、普通城镇绿化苗木的种植及销售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土地整理→栽幼苗→管理（施肥、浇水、除草、疏枝、修剪、病虫害防治）→检验→挖掘包装→交付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0"/>
              </w:rPr>
              <w:t>资质许可范围内老鹰茶苗、普通生态林苗木、普通经济林苗木、普通城镇绿化苗木的种植及销售</w:t>
            </w:r>
          </w:p>
        </w:tc>
        <w:tc>
          <w:tcPr>
            <w:tcW w:w="2006" w:type="dxa"/>
            <w:gridSpan w:val="3"/>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0"/>
              </w:rPr>
              <w:t>资质许可范围内老鹰茶苗、普通生态林苗木、普通经济林苗木、普通城镇绿化苗木的种植及销售所涉及场所的相关环境管理活动</w:t>
            </w:r>
          </w:p>
        </w:tc>
        <w:tc>
          <w:tcPr>
            <w:tcW w:w="2006" w:type="dxa"/>
            <w:gridSpan w:val="3"/>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资质许可范围内老鹰茶苗、普通生态林苗木、普通经济林苗木、普通城镇绿化苗木的种植及销售所涉及场所的相关职业健康安全管理活动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19"/>
        <w:gridCol w:w="1605"/>
        <w:gridCol w:w="615"/>
        <w:gridCol w:w="3060"/>
        <w:gridCol w:w="11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11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0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1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306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7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19" w:type="dxa"/>
          </w:tcPr>
          <w:p>
            <w:pPr>
              <w:spacing w:before="40" w:after="40"/>
              <w:rPr>
                <w:rFonts w:hint="eastAsia" w:eastAsia="宋体"/>
                <w:szCs w:val="21"/>
                <w:lang w:val="en-US" w:eastAsia="zh-CN"/>
              </w:rPr>
            </w:pPr>
            <w:r>
              <w:rPr>
                <w:rFonts w:ascii="宋体"/>
                <w:b w:val="0"/>
                <w:bCs/>
                <w:color w:val="000000"/>
                <w:sz w:val="20"/>
                <w:szCs w:val="20"/>
              </w:rPr>
              <w:t>四川集栩农业有限公司</w:t>
            </w:r>
            <w:r>
              <w:rPr>
                <w:rFonts w:hint="eastAsia" w:ascii="宋体"/>
                <w:b w:val="0"/>
                <w:bCs/>
                <w:color w:val="000000"/>
                <w:sz w:val="20"/>
                <w:szCs w:val="20"/>
                <w:lang w:val="en-US" w:eastAsia="zh-CN"/>
              </w:rPr>
              <w:t>/</w:t>
            </w:r>
            <w:r>
              <w:rPr>
                <w:rFonts w:ascii="宋体"/>
                <w:b w:val="0"/>
                <w:bCs/>
                <w:color w:val="000000"/>
                <w:sz w:val="20"/>
                <w:szCs w:val="20"/>
              </w:rPr>
              <w:t>四川省泸州市纳溪区云溪东路二段340号5幢3号</w:t>
            </w:r>
          </w:p>
        </w:tc>
        <w:tc>
          <w:tcPr>
            <w:tcW w:w="1605" w:type="dxa"/>
          </w:tcPr>
          <w:p>
            <w:pPr>
              <w:spacing w:before="40" w:after="40"/>
              <w:rPr>
                <w:rFonts w:eastAsia="黑体"/>
                <w:szCs w:val="21"/>
                <w:lang w:val="de-DE" w:eastAsia="ja-JP"/>
              </w:rPr>
            </w:pPr>
            <w:r>
              <w:rPr>
                <w:rFonts w:hint="eastAsia" w:eastAsia="黑体"/>
                <w:szCs w:val="21"/>
                <w:lang w:val="de-DE" w:eastAsia="ja-JP"/>
              </w:rPr>
              <w:t>四川省泸州市纳溪区云溪东路二段城市花园4号楼3号门市</w:t>
            </w:r>
          </w:p>
        </w:tc>
        <w:tc>
          <w:tcPr>
            <w:tcW w:w="615" w:type="dxa"/>
            <w:vAlign w:val="center"/>
          </w:tcPr>
          <w:p>
            <w:pPr>
              <w:spacing w:before="40" w:after="40"/>
              <w:rPr>
                <w:rFonts w:hint="default" w:eastAsia="黑体"/>
                <w:szCs w:val="21"/>
                <w:lang w:val="en-US" w:eastAsia="zh-CN"/>
              </w:rPr>
            </w:pPr>
            <w:r>
              <w:rPr>
                <w:rFonts w:hint="eastAsia" w:eastAsia="黑体"/>
                <w:szCs w:val="21"/>
                <w:lang w:val="en-US" w:eastAsia="zh-CN"/>
              </w:rPr>
              <w:t>5</w:t>
            </w:r>
          </w:p>
        </w:tc>
        <w:tc>
          <w:tcPr>
            <w:tcW w:w="3060" w:type="dxa"/>
            <w:vAlign w:val="center"/>
          </w:tcPr>
          <w:p>
            <w:pPr>
              <w:rPr>
                <w:sz w:val="20"/>
              </w:rPr>
            </w:pPr>
            <w:bookmarkStart w:id="33" w:name="审核范围"/>
            <w:r>
              <w:rPr>
                <w:sz w:val="20"/>
              </w:rPr>
              <w:t>Q：资质许可范围内老鹰茶苗、普通生态林苗木、普通经济林苗木、普通城镇绿化苗木的种植及销售</w:t>
            </w:r>
          </w:p>
          <w:p>
            <w:pPr>
              <w:rPr>
                <w:sz w:val="20"/>
              </w:rPr>
            </w:pPr>
            <w:r>
              <w:rPr>
                <w:sz w:val="20"/>
              </w:rPr>
              <w:t>E：资质许可范围内老鹰茶苗、普通生态林苗木、普通经济林苗木、普通城镇绿化苗木的种植及销售所涉及场所的相关环境管理活动</w:t>
            </w:r>
          </w:p>
          <w:p>
            <w:pPr>
              <w:pStyle w:val="20"/>
              <w:rPr>
                <w:rFonts w:eastAsia="黑体" w:cs="Arial"/>
                <w:sz w:val="21"/>
                <w:szCs w:val="21"/>
                <w:lang w:val="en-US" w:eastAsia="ja-JP"/>
              </w:rPr>
            </w:pPr>
            <w:r>
              <w:rPr>
                <w:sz w:val="20"/>
              </w:rPr>
              <w:t>O：资质许可范围内老鹰茶苗、普通生态林苗木、普通经济林苗木、普通城镇绿化苗木的种植及销售所涉及场所的相关职业健康安全管理活动</w:t>
            </w:r>
            <w:bookmarkEnd w:id="33"/>
          </w:p>
        </w:tc>
        <w:tc>
          <w:tcPr>
            <w:tcW w:w="1178"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spacing w:before="40" w:after="40"/>
              <w:rPr>
                <w:rFonts w:eastAsia="黑体"/>
                <w:szCs w:val="21"/>
                <w:lang w:eastAsia="ja-JP"/>
              </w:rPr>
            </w:pPr>
            <w:r>
              <w:rPr>
                <w:rFonts w:hint="eastAsia" w:ascii="宋体" w:hAnsi="宋体"/>
                <w:b/>
                <w:sz w:val="21"/>
                <w:szCs w:val="21"/>
              </w:rPr>
              <w:t>GB/T45001-2020/ISO45001：2020标准</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19" w:type="dxa"/>
            <w:vAlign w:val="top"/>
          </w:tcPr>
          <w:p>
            <w:pPr>
              <w:spacing w:before="40" w:after="40"/>
              <w:rPr>
                <w:rFonts w:hint="eastAsia" w:ascii="Times New Roman" w:hAnsi="Times New Roman" w:eastAsia="宋体" w:cs="Times New Roman"/>
                <w:kern w:val="2"/>
                <w:sz w:val="21"/>
                <w:szCs w:val="21"/>
                <w:lang w:val="en-US" w:eastAsia="ja-JP" w:bidi="ar-SA"/>
              </w:rPr>
            </w:pPr>
            <w:r>
              <w:rPr>
                <w:rFonts w:ascii="宋体"/>
                <w:b/>
                <w:color w:val="000000"/>
                <w:szCs w:val="21"/>
              </w:rPr>
              <w:t>四川集栩农业有限公司</w:t>
            </w:r>
            <w:r>
              <w:rPr>
                <w:rFonts w:hint="eastAsia" w:ascii="宋体"/>
                <w:b/>
                <w:color w:val="000000"/>
                <w:szCs w:val="21"/>
                <w:lang w:val="en-US" w:eastAsia="zh-CN"/>
              </w:rPr>
              <w:t>/</w:t>
            </w:r>
            <w:r>
              <w:rPr>
                <w:rFonts w:ascii="宋体"/>
                <w:b/>
                <w:color w:val="000000"/>
                <w:szCs w:val="21"/>
              </w:rPr>
              <w:t>四川省泸州市纳溪区云溪东路二段340号5幢3号</w:t>
            </w:r>
          </w:p>
        </w:tc>
        <w:tc>
          <w:tcPr>
            <w:tcW w:w="1605" w:type="dxa"/>
            <w:vAlign w:val="center"/>
          </w:tcPr>
          <w:p>
            <w:pPr>
              <w:spacing w:before="40" w:after="40"/>
              <w:rPr>
                <w:rFonts w:hint="eastAsia" w:ascii="Times New Roman" w:hAnsi="Times New Roman" w:eastAsia="黑体" w:cs="Times New Roman"/>
                <w:szCs w:val="21"/>
                <w:lang w:val="de-DE" w:eastAsia="ja-JP"/>
              </w:rPr>
            </w:pPr>
            <w:r>
              <w:rPr>
                <w:rFonts w:hint="eastAsia" w:ascii="Times New Roman" w:hAnsi="Times New Roman" w:eastAsia="黑体" w:cs="Times New Roman"/>
                <w:szCs w:val="21"/>
                <w:lang w:val="en-US" w:eastAsia="zh-CN"/>
              </w:rPr>
              <w:t>四川省泸州市纳溪区龙车镇塘口村</w:t>
            </w:r>
          </w:p>
        </w:tc>
        <w:tc>
          <w:tcPr>
            <w:tcW w:w="615"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3060" w:type="dxa"/>
            <w:vAlign w:val="center"/>
          </w:tcPr>
          <w:p>
            <w:pPr>
              <w:rPr>
                <w:sz w:val="20"/>
              </w:rPr>
            </w:pPr>
            <w:r>
              <w:rPr>
                <w:sz w:val="20"/>
              </w:rPr>
              <w:t>Q：资质许可范围内老鹰茶苗、普通生态林苗木、普通经济林苗木、普通城镇绿化苗木的种植及销售</w:t>
            </w:r>
          </w:p>
          <w:p>
            <w:pPr>
              <w:rPr>
                <w:sz w:val="20"/>
              </w:rPr>
            </w:pPr>
            <w:r>
              <w:rPr>
                <w:sz w:val="20"/>
              </w:rPr>
              <w:t>E：资质许可范围内老鹰茶苗、普通生态林苗木、普通经济林苗木、普通城镇绿化苗木的种植及销售所涉及场所的相关环境管理活动</w:t>
            </w:r>
          </w:p>
          <w:p>
            <w:pPr>
              <w:spacing w:before="40" w:after="40"/>
              <w:rPr>
                <w:rFonts w:eastAsia="黑体"/>
                <w:szCs w:val="21"/>
                <w:lang w:eastAsia="ja-JP"/>
              </w:rPr>
            </w:pPr>
            <w:r>
              <w:rPr>
                <w:sz w:val="20"/>
              </w:rPr>
              <w:t>O：资质许可范围内老鹰茶苗、普通生态林苗木、普通经济林苗木、普通城镇绿化苗木的种植及销售所涉及场所的相关职业健康安全管理活动</w:t>
            </w:r>
          </w:p>
        </w:tc>
        <w:tc>
          <w:tcPr>
            <w:tcW w:w="1178"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spacing w:before="40" w:after="40"/>
              <w:rPr>
                <w:rFonts w:eastAsia="黑体"/>
                <w:szCs w:val="21"/>
                <w:lang w:eastAsia="ja-JP"/>
              </w:rPr>
            </w:pPr>
            <w:r>
              <w:rPr>
                <w:rFonts w:hint="eastAsia" w:ascii="宋体" w:hAnsi="宋体"/>
                <w:b/>
                <w:sz w:val="21"/>
                <w:szCs w:val="21"/>
              </w:rPr>
              <w:t>GB/T45001-2020/ISO45001：2020标准</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119" w:type="dxa"/>
            <w:vAlign w:val="center"/>
          </w:tcPr>
          <w:p>
            <w:pPr>
              <w:spacing w:before="40" w:after="40"/>
              <w:rPr>
                <w:rFonts w:eastAsia="黑体"/>
                <w:szCs w:val="21"/>
                <w:lang w:eastAsia="ja-JP"/>
              </w:rPr>
            </w:pPr>
          </w:p>
        </w:tc>
        <w:tc>
          <w:tcPr>
            <w:tcW w:w="1605" w:type="dxa"/>
            <w:vAlign w:val="center"/>
          </w:tcPr>
          <w:p>
            <w:pPr>
              <w:spacing w:before="40" w:after="40"/>
              <w:rPr>
                <w:rFonts w:eastAsia="黑体"/>
                <w:szCs w:val="21"/>
                <w:lang w:eastAsia="ja-JP"/>
              </w:rPr>
            </w:pPr>
          </w:p>
        </w:tc>
        <w:tc>
          <w:tcPr>
            <w:tcW w:w="615" w:type="dxa"/>
            <w:vAlign w:val="center"/>
          </w:tcPr>
          <w:p>
            <w:pPr>
              <w:spacing w:before="40" w:after="40"/>
              <w:rPr>
                <w:rFonts w:eastAsia="黑体"/>
                <w:szCs w:val="21"/>
                <w:lang w:eastAsia="ja-JP"/>
              </w:rPr>
            </w:pPr>
          </w:p>
        </w:tc>
        <w:tc>
          <w:tcPr>
            <w:tcW w:w="3060" w:type="dxa"/>
            <w:vAlign w:val="center"/>
          </w:tcPr>
          <w:p>
            <w:pPr>
              <w:spacing w:before="40" w:after="40"/>
              <w:rPr>
                <w:rFonts w:eastAsia="黑体"/>
                <w:szCs w:val="21"/>
                <w:lang w:eastAsia="ja-JP"/>
              </w:rPr>
            </w:pPr>
          </w:p>
        </w:tc>
        <w:tc>
          <w:tcPr>
            <w:tcW w:w="117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119" w:type="dxa"/>
            <w:vAlign w:val="center"/>
          </w:tcPr>
          <w:p>
            <w:pPr>
              <w:spacing w:before="40" w:after="40"/>
              <w:rPr>
                <w:rFonts w:eastAsia="黑体"/>
                <w:szCs w:val="21"/>
                <w:lang w:eastAsia="ja-JP"/>
              </w:rPr>
            </w:pPr>
          </w:p>
        </w:tc>
        <w:tc>
          <w:tcPr>
            <w:tcW w:w="1605" w:type="dxa"/>
            <w:vAlign w:val="center"/>
          </w:tcPr>
          <w:p>
            <w:pPr>
              <w:spacing w:before="40" w:after="40"/>
              <w:rPr>
                <w:rFonts w:eastAsia="黑体"/>
                <w:szCs w:val="21"/>
                <w:lang w:eastAsia="ja-JP"/>
              </w:rPr>
            </w:pPr>
          </w:p>
        </w:tc>
        <w:tc>
          <w:tcPr>
            <w:tcW w:w="615" w:type="dxa"/>
            <w:vAlign w:val="center"/>
          </w:tcPr>
          <w:p>
            <w:pPr>
              <w:spacing w:before="40" w:after="40"/>
              <w:rPr>
                <w:rFonts w:eastAsia="黑体"/>
                <w:szCs w:val="21"/>
                <w:lang w:eastAsia="ja-JP"/>
              </w:rPr>
            </w:pPr>
          </w:p>
        </w:tc>
        <w:tc>
          <w:tcPr>
            <w:tcW w:w="3060" w:type="dxa"/>
            <w:vAlign w:val="center"/>
          </w:tcPr>
          <w:p>
            <w:pPr>
              <w:spacing w:before="40" w:after="40"/>
              <w:rPr>
                <w:rFonts w:eastAsia="黑体"/>
                <w:szCs w:val="21"/>
                <w:lang w:eastAsia="ja-JP"/>
              </w:rPr>
            </w:pPr>
          </w:p>
        </w:tc>
        <w:tc>
          <w:tcPr>
            <w:tcW w:w="1178"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119" w:type="dxa"/>
            <w:vAlign w:val="center"/>
          </w:tcPr>
          <w:p>
            <w:pPr>
              <w:spacing w:before="40" w:after="40"/>
              <w:rPr>
                <w:rFonts w:eastAsia="黑体"/>
                <w:szCs w:val="21"/>
                <w:lang w:eastAsia="ja-JP"/>
              </w:rPr>
            </w:pPr>
          </w:p>
        </w:tc>
        <w:tc>
          <w:tcPr>
            <w:tcW w:w="1605" w:type="dxa"/>
            <w:vAlign w:val="center"/>
          </w:tcPr>
          <w:p>
            <w:pPr>
              <w:spacing w:before="40" w:after="40"/>
              <w:rPr>
                <w:rFonts w:eastAsia="黑体"/>
                <w:szCs w:val="21"/>
                <w:lang w:eastAsia="ja-JP"/>
              </w:rPr>
            </w:pPr>
          </w:p>
        </w:tc>
        <w:tc>
          <w:tcPr>
            <w:tcW w:w="615" w:type="dxa"/>
            <w:vAlign w:val="center"/>
          </w:tcPr>
          <w:p>
            <w:pPr>
              <w:spacing w:before="40" w:after="40"/>
              <w:rPr>
                <w:rFonts w:eastAsia="黑体"/>
                <w:szCs w:val="21"/>
                <w:lang w:eastAsia="ja-JP"/>
              </w:rPr>
            </w:pPr>
          </w:p>
        </w:tc>
        <w:tc>
          <w:tcPr>
            <w:tcW w:w="3060" w:type="dxa"/>
            <w:vAlign w:val="center"/>
          </w:tcPr>
          <w:p>
            <w:pPr>
              <w:spacing w:before="40" w:after="40"/>
              <w:rPr>
                <w:rFonts w:eastAsia="黑体"/>
                <w:szCs w:val="21"/>
                <w:lang w:eastAsia="ja-JP"/>
              </w:rPr>
            </w:pPr>
          </w:p>
        </w:tc>
        <w:tc>
          <w:tcPr>
            <w:tcW w:w="1178"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移植过程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移植过程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4" w:name="二阶段审核日期"/>
            <w:r>
              <w:rPr>
                <w:rFonts w:hint="eastAsia" w:ascii="宋体"/>
                <w:b/>
                <w:color w:val="000000"/>
                <w:szCs w:val="21"/>
              </w:rPr>
              <w:t>2021-11-13</w:t>
            </w:r>
            <w:bookmarkEnd w:id="34"/>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sz w:val="20"/>
              </w:rPr>
              <w:t>资质许可范围内老鹰茶苗、普通生态林苗木、普通经济林苗木、普通城镇绿化苗木的种植及销售</w:t>
            </w:r>
          </w:p>
        </w:tc>
        <w:tc>
          <w:tcPr>
            <w:tcW w:w="1541" w:type="dxa"/>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sz w:val="20"/>
              </w:rPr>
              <w:t>资质许可范围内老鹰茶苗、普通生态林苗木、普通经济林苗木、普通城镇绿化苗木的种植及销售所涉及场所的相关环境管理活动</w:t>
            </w:r>
          </w:p>
        </w:tc>
        <w:tc>
          <w:tcPr>
            <w:tcW w:w="1541" w:type="dxa"/>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sz w:val="20"/>
              </w:rPr>
              <w:t>资质许可范围内老鹰茶苗、普通生态林苗木、普通经济林苗木、普通城镇绿化苗木的种植及销售所涉及场所的相关职业健康安全管理活动</w:t>
            </w:r>
          </w:p>
        </w:tc>
        <w:tc>
          <w:tcPr>
            <w:tcW w:w="1541" w:type="dxa"/>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2021年11月14日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73"/>
        <w:gridCol w:w="1500"/>
        <w:gridCol w:w="1133"/>
        <w:gridCol w:w="286"/>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26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50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gridSpan w:val="2"/>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26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计量器具未进行检验</w:t>
            </w:r>
          </w:p>
        </w:tc>
        <w:tc>
          <w:tcPr>
            <w:tcW w:w="1500" w:type="dxa"/>
            <w:vAlign w:val="center"/>
          </w:tcPr>
          <w:p>
            <w:pPr>
              <w:pStyle w:val="7"/>
              <w:pBdr>
                <w:bottom w:val="none" w:color="auto" w:sz="0" w:space="0"/>
              </w:pBdr>
              <w:ind w:right="24" w:rightChars="0"/>
              <w:jc w:val="both"/>
              <w:rPr>
                <w:color w:val="000000"/>
                <w:sz w:val="21"/>
                <w:szCs w:val="21"/>
              </w:rPr>
            </w:pPr>
            <w:r>
              <w:rPr>
                <w:rFonts w:hint="eastAsia" w:ascii="宋体" w:hAnsi="宋体"/>
                <w:b/>
                <w:sz w:val="21"/>
                <w:szCs w:val="21"/>
              </w:rPr>
              <w:t>GB/T19001-2016/ISO 9001:2015</w:t>
            </w: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7.1.5</w:t>
            </w:r>
          </w:p>
        </w:tc>
        <w:tc>
          <w:tcPr>
            <w:tcW w:w="934" w:type="dxa"/>
            <w:gridSpan w:val="2"/>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26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500"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gridSpan w:val="2"/>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26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500"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gridSpan w:val="2"/>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26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500"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gridSpan w:val="2"/>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26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500"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gridSpan w:val="2"/>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8" w:type="dxa"/>
        </w:trPr>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8" w:type="dxa"/>
        </w:trPr>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8" w:type="dxa"/>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sym w:font="Wingdings 2" w:char="0052"/>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8" w:type="dxa"/>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val="en-US" w:eastAsia="zh-CN"/>
              </w:rPr>
              <w:t xml:space="preserve"> </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8" w:type="dxa"/>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6C2A7E"/>
    <w:rsid w:val="20D92664"/>
    <w:rsid w:val="389B7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2021-11-25T11:35:12Z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