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四川集栩农业有限公司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Q：01.03.00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E：01.03.00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O：01.03.00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陈兴平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Q：01.03.00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E：01.03.00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O：01.03.00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土地整理</w:t>
            </w:r>
            <w:r>
              <w:rPr>
                <w:rFonts w:hint="eastAsia"/>
                <w:b/>
                <w:sz w:val="20"/>
                <w:lang w:eastAsia="zh-CN"/>
              </w:rPr>
              <w:t>→</w:t>
            </w:r>
            <w:r>
              <w:rPr>
                <w:rFonts w:hint="eastAsia"/>
                <w:b/>
                <w:sz w:val="20"/>
              </w:rPr>
              <w:t>栽幼苗</w:t>
            </w:r>
            <w:r>
              <w:rPr>
                <w:rFonts w:hint="eastAsia"/>
                <w:b/>
                <w:sz w:val="20"/>
                <w:lang w:eastAsia="zh-CN"/>
              </w:rPr>
              <w:t>→</w:t>
            </w:r>
            <w:r>
              <w:rPr>
                <w:rFonts w:hint="eastAsia"/>
                <w:b/>
                <w:sz w:val="20"/>
              </w:rPr>
              <w:t>管理（施肥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浇水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除草</w:t>
            </w:r>
            <w:r>
              <w:rPr>
                <w:rFonts w:hint="eastAsia"/>
                <w:b/>
                <w:sz w:val="20"/>
                <w:lang w:eastAsia="zh-CN"/>
              </w:rPr>
              <w:t>、疏枝、修剪、</w:t>
            </w:r>
            <w:r>
              <w:rPr>
                <w:rFonts w:hint="eastAsia"/>
                <w:b/>
                <w:sz w:val="20"/>
              </w:rPr>
              <w:t>病虫害防治）</w:t>
            </w:r>
            <w:r>
              <w:rPr>
                <w:rFonts w:hint="eastAsia"/>
                <w:b/>
                <w:sz w:val="20"/>
                <w:lang w:eastAsia="zh-CN"/>
              </w:rPr>
              <w:t>→检验→挖掘包装→交付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生产过程的风险及控制措施：幼苗培养控制；移栽、种植过程中对温度、湿度、根系保护的控制；日常管理（1、施肥2、浇水3、病虫害防治等）不到位造成苗种损伤。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需确认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过程：移植过程。对人员从业资格及能力、设备设施使用保养、文件规范及过程监控记录控制进行了确认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bookmarkStart w:id="10" w:name="_GoBack"/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固体废弃物排放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潜在火灾</w:t>
            </w:r>
            <w:r>
              <w:rPr>
                <w:rFonts w:hint="eastAsia"/>
                <w:b/>
                <w:sz w:val="20"/>
                <w:lang w:eastAsia="zh-CN"/>
              </w:rPr>
              <w:t>，采取分类收集、管理方案和预案措施管理。</w:t>
            </w:r>
          </w:p>
        </w:tc>
      </w:tr>
      <w:bookmarkEnd w:id="10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触电、机械伤害、火灾，采取管理方案和预案措施管理。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中华人民共和国产品质量法</w:t>
            </w:r>
            <w:r>
              <w:rPr>
                <w:rFonts w:hint="eastAsia"/>
                <w:b/>
                <w:sz w:val="20"/>
                <w:lang w:eastAsia="zh-CN"/>
              </w:rPr>
              <w:t>，中华人民共和国计量法，中华人民共和国标准化法，苗木质量核查规则LY/T 2419-2015，茶树栽培技术规程DB51/T 2481-2018，</w:t>
            </w:r>
            <w:r>
              <w:rPr>
                <w:rFonts w:hint="eastAsia"/>
                <w:b/>
                <w:sz w:val="20"/>
                <w:lang w:val="en-US" w:eastAsia="zh-CN"/>
              </w:rPr>
              <w:t>顾客要求。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余家龙</w:t>
            </w:r>
            <w:bookmarkEnd w:id="9"/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2021.11.13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中國龍中黑體">
    <w:altName w:val="黑体"/>
    <w:panose1 w:val="00000000000000000000"/>
    <w:charset w:val="88"/>
    <w:family w:val="modern"/>
    <w:pitch w:val="default"/>
    <w:sig w:usb0="00000000" w:usb1="00000000" w:usb2="0000003F" w:usb3="00000000" w:csb0="001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4097" o:spid="_x0000_s4097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4098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B8D6868"/>
    <w:rsid w:val="123B75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中國龍中黑體"/>
      <w:sz w:val="24"/>
      <w:szCs w:val="20"/>
      <w:lang w:eastAsia="zh-TW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3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2021-11-15T07:07:28Z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