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1112-2021-QEO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四川集栩农业有限公司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余家龙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91510503MA66U89T38</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宋体" w:hAnsi="宋体" w:eastAsia="宋体" w:cs="宋体"/>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(不适用：8.3条款)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四川集栩农业有限公司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Q：资质许可范围内老鹰茶苗、普通生态林苗木、普通经济林苗木、普通城镇绿化苗木的种植及销售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E：资质许可范围内老鹰茶苗、普通生态林苗木、普通经济林苗木、普通城镇绿化苗木的种植及销售所涉及场所的相关环境管理活动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O：资质许可范围内老鹰茶苗、普通生态林苗木、普通经济林苗木、普通城镇绿化苗木的种植及销售所涉及场所的相关职业健康安全管理活动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四川省泸州市纳溪区云溪东路二段340号5幢3号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经营地址</w:t>
            </w:r>
            <w:r>
              <w:rPr>
                <w:rFonts w:hint="eastAsia" w:cs="Times New Roman"/>
                <w:b w:val="0"/>
                <w:kern w:val="2"/>
                <w:sz w:val="22"/>
                <w:szCs w:val="22"/>
                <w:lang w:val="en-US" w:eastAsia="zh-CN" w:bidi="ar-SA"/>
              </w:rPr>
              <w:t>/生产地址</w:t>
            </w:r>
          </w:p>
        </w:tc>
        <w:tc>
          <w:tcPr>
            <w:tcW w:w="3373"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四川省泸州市纳溪区云溪东路二段城市花园4号楼3号门市</w:t>
            </w:r>
            <w:r>
              <w:rPr>
                <w:rFonts w:hint="eastAsia" w:cs="Times New Roman"/>
                <w:b w:val="0"/>
                <w:kern w:val="2"/>
                <w:sz w:val="22"/>
                <w:szCs w:val="22"/>
                <w:lang w:val="en-US" w:eastAsia="zh-CN" w:bidi="ar-SA"/>
              </w:rPr>
              <w:t>/四川省泸州市纳溪区龙车镇塘口村</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pStyle w:val="2"/>
        <w:spacing w:line="0" w:lineRule="atLeast"/>
        <w:ind w:firstLine="0"/>
        <w:rPr>
          <w:rFonts w:hint="eastAsia"/>
          <w:b/>
          <w:color w:val="000000" w:themeColor="text1"/>
          <w:sz w:val="18"/>
          <w:szCs w:val="18"/>
          <w:lang w:val="en-GB" w:eastAsia="zh-CN"/>
        </w:rPr>
      </w:pPr>
      <w:bookmarkStart w:id="20" w:name="_GoBack"/>
      <w:bookmarkEnd w:id="20"/>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074A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2021-11-16T02:59:08Z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