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宣城市宝冠金属制品有限责任公司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0047-2021-QEO-2021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r>
              <w:rPr>
                <w:rFonts w:hint="eastAsia"/>
                <w:sz w:val="20"/>
                <w:lang w:val="de-DE" w:eastAsia="zh-CN"/>
              </w:rPr>
              <w:t>（</w:t>
            </w:r>
            <w:r>
              <w:rPr>
                <w:rFonts w:hint="eastAsia"/>
                <w:sz w:val="20"/>
                <w:lang w:val="en-US" w:eastAsia="zh-CN"/>
              </w:rPr>
              <w:t>现场）</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r>
              <w:rPr>
                <w:rFonts w:hint="eastAsia"/>
                <w:sz w:val="20"/>
                <w:lang w:val="de-DE" w:eastAsia="zh-CN"/>
              </w:rPr>
              <w:t>（</w:t>
            </w:r>
            <w:r>
              <w:rPr>
                <w:rFonts w:hint="eastAsia"/>
                <w:sz w:val="20"/>
                <w:lang w:val="en-US" w:eastAsia="zh-CN"/>
              </w:rPr>
              <w:t>远程）</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A85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2021-11-17T08:07:50Z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