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宣城市宝冠金属制品有限责任公司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产品工艺流程图：</w:t>
            </w:r>
          </w:p>
          <w:p>
            <w:pPr>
              <w:pStyle w:val="12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下料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冲压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折弯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焊接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抛丸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喷涂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固化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组装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</w:rPr>
              <w:t>包装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成品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关键和特殊</w:t>
            </w:r>
            <w:r>
              <w:rPr>
                <w:rFonts w:hint="eastAsia"/>
              </w:rPr>
              <w:t>过程为：焊接、喷漆</w:t>
            </w:r>
          </w:p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生产风险及控制措施：产品质量不达标，导致客户要求得不到满足，针对生产人员的能力、生产发的设备、质量要求、作业指导书、工作环境等进行确认，严格遵守客户订单要求，针对订单要求进行评审，后期进行产品测试验证，保障输出符合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废气、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火灾，噪声排放，电能等资源能源的消耗，固废排放；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控制措施：集中收集外售至废品回收站；选用低噪声设备，废气主要来源于排孔、打磨产生的粉尘，通过集气罩、布袋除尘器等进行处理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重大危险源：机械伤害、触电、火灾、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废气、噪声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Q：中华人民共和国产品质量法、中华人民共和国标准化法、中华人民共和国消费者权益保护法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外观、规格尺寸、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平整度</w:t>
            </w:r>
            <w:r>
              <w:rPr>
                <w:rFonts w:hint="eastAsia" w:ascii="宋体" w:hAnsi="宋体"/>
                <w:sz w:val="21"/>
                <w:szCs w:val="21"/>
              </w:rPr>
              <w:t>等，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检验要求详见产品检测报告，</w:t>
            </w:r>
            <w:r>
              <w:rPr>
                <w:rFonts w:hint="eastAsia" w:ascii="宋体" w:hAnsi="宋体"/>
                <w:sz w:val="21"/>
                <w:szCs w:val="21"/>
              </w:rPr>
              <w:t>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118110</wp:posOffset>
                  </wp:positionV>
                  <wp:extent cx="565150" cy="476250"/>
                  <wp:effectExtent l="0" t="0" r="6350" b="6350"/>
                  <wp:wrapNone/>
                  <wp:docPr id="1" name="图片 1" descr="a9e3cf7c3b14aeb48d91bc2b6488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e3cf7c3b14aeb48d91bc2b64882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337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2021-11-17T07:37:42Z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