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资中县银山鸿展工业有限责任公司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李华志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p>
    <w:p>
      <w:pPr>
        <w:pStyle w:val="10"/>
        <w:numPr>
          <w:ilvl w:val="0"/>
          <w:numId w:val="0"/>
        </w:numPr>
        <w:ind w:left="-851" w:leftChars="0" w:firstLine="723" w:firstLineChars="400"/>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eastAsia="宋体" w:cs="Times New Roman"/>
          <w:b/>
          <w:color w:val="000000" w:themeColor="text1"/>
          <w:kern w:val="2"/>
          <w:sz w:val="26"/>
          <w:szCs w:val="26"/>
          <w:lang w:val="en-US" w:eastAsia="zh-CN" w:bidi="ar-SA"/>
        </w:rPr>
        <w:t>受审核</w:t>
      </w:r>
      <w:r>
        <w:rPr>
          <w:rFonts w:hint="eastAsia" w:ascii="宋体" w:hAnsi="宋体"/>
          <w:b/>
          <w:color w:val="000000" w:themeColor="text1"/>
          <w:sz w:val="26"/>
          <w:szCs w:val="26"/>
        </w:rPr>
        <w:t>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资中县银山鸿展工业有限责任公司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四川省内江市资中县银山镇老下街563号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z w:val="20"/>
                <w:szCs w:val="20"/>
              </w:rPr>
              <w:t>641201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四川省内江市资中县银山镇老下街563号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641201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何学彬</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13551509708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万明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许可范围内的食用酒精的生产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03.10.01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2019-07-20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技质</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306"/>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06" w:type="dxa"/>
          </w:tcPr>
          <w:p>
            <w:pPr>
              <w:rPr>
                <w:b/>
                <w:color w:val="000000" w:themeColor="text1"/>
                <w:sz w:val="20"/>
                <w:szCs w:val="20"/>
              </w:rPr>
            </w:pPr>
            <w:r>
              <w:rPr>
                <w:rFonts w:hint="eastAsia"/>
                <w:b/>
                <w:color w:val="000000" w:themeColor="text1"/>
                <w:sz w:val="20"/>
                <w:szCs w:val="20"/>
              </w:rPr>
              <w:t>规格</w:t>
            </w:r>
          </w:p>
        </w:tc>
        <w:tc>
          <w:tcPr>
            <w:tcW w:w="4080"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食用酒精的生产</w:t>
            </w:r>
          </w:p>
        </w:tc>
        <w:tc>
          <w:tcPr>
            <w:tcW w:w="2519" w:type="dxa"/>
          </w:tcPr>
          <w:p>
            <w:pPr>
              <w:rPr>
                <w:b/>
                <w:color w:val="000000" w:themeColor="text1"/>
                <w:sz w:val="20"/>
                <w:szCs w:val="20"/>
              </w:rPr>
            </w:pPr>
          </w:p>
        </w:tc>
        <w:tc>
          <w:tcPr>
            <w:tcW w:w="1306" w:type="dxa"/>
          </w:tcPr>
          <w:p>
            <w:pPr>
              <w:rPr>
                <w:b/>
                <w:color w:val="000000" w:themeColor="text1"/>
                <w:sz w:val="20"/>
                <w:szCs w:val="20"/>
              </w:rPr>
            </w:pPr>
          </w:p>
        </w:tc>
        <w:tc>
          <w:tcPr>
            <w:tcW w:w="4080" w:type="dxa"/>
          </w:tcPr>
          <w:p>
            <w:pPr>
              <w:jc w:val="left"/>
              <w:rPr>
                <w:b/>
                <w:color w:val="000000" w:themeColor="text1"/>
                <w:sz w:val="20"/>
                <w:szCs w:val="20"/>
              </w:rPr>
            </w:pPr>
            <w:r>
              <w:rPr>
                <w:rFonts w:hint="eastAsia" w:ascii="Times New Roman" w:hAnsi="Times New Roman" w:cs="Times New Roman"/>
                <w:b/>
                <w:color w:val="000000" w:themeColor="text1"/>
                <w:sz w:val="20"/>
                <w:szCs w:val="20"/>
                <w:lang w:val="en-US" w:eastAsia="zh-CN"/>
              </w:rPr>
              <w:t>食用酒精检验国家标椎GB10343-2008、食品安全国家标椎（食用酒精）GB31640-2016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06" w:type="dxa"/>
          </w:tcPr>
          <w:p>
            <w:pPr>
              <w:rPr>
                <w:b/>
                <w:color w:val="000000" w:themeColor="text1"/>
                <w:sz w:val="20"/>
                <w:szCs w:val="20"/>
              </w:rPr>
            </w:pPr>
          </w:p>
        </w:tc>
        <w:tc>
          <w:tcPr>
            <w:tcW w:w="4080"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b/>
          <w:color w:val="000000" w:themeColor="text1"/>
          <w:spacing w:val="-10"/>
          <w:szCs w:val="21"/>
          <w:lang w:val="en-US" w:eastAsia="zh-CN"/>
        </w:rPr>
        <w:t>2019年7月20日至2019年12月11日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诚信为本　质量第一  科技创新  持续改进</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宋体"/>
                <w:sz w:val="21"/>
                <w:szCs w:val="21"/>
              </w:rPr>
              <w:t>许可范围内的</w:t>
            </w:r>
            <w:r>
              <w:rPr>
                <w:rFonts w:hint="eastAsia" w:ascii="宋体" w:hAnsi="宋体" w:cs="宋体"/>
                <w:sz w:val="21"/>
                <w:szCs w:val="21"/>
                <w:lang w:val="en-US" w:eastAsia="zh-CN"/>
              </w:rPr>
              <w:t>食用酒精</w:t>
            </w:r>
            <w:r>
              <w:rPr>
                <w:rFonts w:hint="eastAsia" w:ascii="宋体" w:hAnsi="宋体" w:cs="宋体"/>
                <w:sz w:val="21"/>
                <w:szCs w:val="21"/>
              </w:rPr>
              <w:t xml:space="preserve">的生产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w:t>
            </w:r>
            <w:r>
              <w:rPr>
                <w:rFonts w:hint="eastAsia" w:ascii="宋体" w:hAnsi="宋体" w:cs="Times New Roman"/>
                <w:b/>
                <w:color w:val="000000" w:themeColor="text1"/>
                <w:sz w:val="20"/>
                <w:szCs w:val="20"/>
                <w:highlight w:val="none"/>
                <w:lang w:val="en-US" w:eastAsia="zh-CN"/>
              </w:rPr>
              <w:t>蒸馏</w:t>
            </w:r>
          </w:p>
          <w:p>
            <w:pPr>
              <w:tabs>
                <w:tab w:val="left" w:pos="540"/>
              </w:tabs>
              <w:spacing w:line="300" w:lineRule="exact"/>
              <w:ind w:left="201" w:hanging="201" w:hangingChars="100"/>
              <w:rPr>
                <w:rFonts w:hint="eastAsia"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宋体"/>
                <w:sz w:val="21"/>
                <w:szCs w:val="21"/>
                <w:u w:val="single"/>
              </w:rPr>
              <w:t>该公司</w:t>
            </w:r>
            <w:r>
              <w:rPr>
                <w:rFonts w:hint="eastAsia" w:ascii="宋体" w:hAnsi="宋体" w:cs="宋体"/>
                <w:sz w:val="21"/>
                <w:szCs w:val="21"/>
                <w:u w:val="single"/>
                <w:lang w:eastAsia="zh-CN"/>
              </w:rPr>
              <w:t>生产食用酒精</w:t>
            </w:r>
            <w:r>
              <w:rPr>
                <w:rFonts w:hint="eastAsia" w:ascii="宋体" w:hAnsi="宋体" w:cs="宋体"/>
                <w:sz w:val="21"/>
                <w:szCs w:val="21"/>
                <w:u w:val="single"/>
              </w:rPr>
              <w:t>依据成熟工艺,</w:t>
            </w:r>
            <w:r>
              <w:rPr>
                <w:rFonts w:hint="eastAsia" w:ascii="宋体" w:hAnsi="宋体" w:cs="宋体"/>
                <w:sz w:val="21"/>
                <w:szCs w:val="21"/>
                <w:u w:val="single"/>
                <w:lang w:eastAsia="zh-CN"/>
              </w:rPr>
              <w:t>模式固定，</w:t>
            </w:r>
            <w:r>
              <w:rPr>
                <w:rFonts w:hint="eastAsia" w:ascii="宋体" w:hAnsi="宋体" w:cs="宋体"/>
                <w:sz w:val="21"/>
                <w:szCs w:val="21"/>
                <w:u w:val="single"/>
              </w:rPr>
              <w:t>按生产技术要求生产,因此标准8.3条款“产品和服务的设计和开发”要求不适用，</w:t>
            </w:r>
            <w:r>
              <w:rPr>
                <w:rFonts w:hint="eastAsia" w:ascii="宋体" w:hAnsi="宋体" w:cs="宋体"/>
                <w:sz w:val="21"/>
                <w:szCs w:val="21"/>
              </w:rPr>
              <w:t>不适用</w:t>
            </w:r>
            <w:r>
              <w:rPr>
                <w:rFonts w:hint="eastAsia" w:ascii="宋体" w:hAnsi="宋体" w:cs="宋体"/>
                <w:sz w:val="21"/>
                <w:szCs w:val="21"/>
                <w:lang w:eastAsia="zh-CN"/>
              </w:rPr>
              <w:t>理由</w:t>
            </w:r>
            <w:r>
              <w:rPr>
                <w:rFonts w:hint="eastAsia" w:ascii="宋体" w:hAnsi="宋体" w:cs="宋体"/>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 产品一次合格率达95%以上；</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 上级产品抽检合格率达100；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3. 顾客满意率达90%以上。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szCs w:val="21"/>
                <w:highlight w:val="none"/>
                <w:lang w:val="en-US" w:eastAsia="zh-CN"/>
              </w:rPr>
              <w:t>105056.03</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2000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Cs w:val="21"/>
                <w:highlight w:val="none"/>
                <w:lang w:val="en-US" w:eastAsia="zh-CN"/>
              </w:rPr>
              <w:t>锤式粉碎机、</w:t>
            </w:r>
            <w:r>
              <w:rPr>
                <w:rFonts w:hint="eastAsia" w:ascii="宋体" w:hAnsi="宋体"/>
                <w:color w:val="000000"/>
                <w:sz w:val="20"/>
                <w:szCs w:val="20"/>
              </w:rPr>
              <w:t>拌料罐</w:t>
            </w:r>
            <w:r>
              <w:rPr>
                <w:rFonts w:hint="eastAsia" w:ascii="宋体" w:hAnsi="宋体"/>
                <w:color w:val="000000"/>
                <w:sz w:val="20"/>
                <w:szCs w:val="20"/>
                <w:lang w:eastAsia="zh-CN"/>
              </w:rPr>
              <w:t>、液化维持罐、糖化罐、粉浆泵、发酵侧搅拌器、</w:t>
            </w:r>
            <w:r>
              <w:rPr>
                <w:rFonts w:hint="eastAsia" w:ascii="宋体" w:hAnsi="宋体"/>
                <w:color w:val="000000"/>
                <w:sz w:val="20"/>
                <w:szCs w:val="20"/>
                <w:lang w:val="en-US" w:eastAsia="zh-CN"/>
              </w:rPr>
              <w:t>蒸馏塔等123台套</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cs="宋体"/>
                <w:color w:val="000000"/>
                <w:szCs w:val="21"/>
                <w:highlight w:val="none"/>
              </w:rPr>
              <w:t>生产车间及检验</w:t>
            </w:r>
            <w:r>
              <w:rPr>
                <w:rFonts w:hint="eastAsia" w:ascii="宋体" w:hAnsi="宋体" w:cs="宋体"/>
                <w:szCs w:val="21"/>
              </w:rPr>
              <w:t>部门均按策划的要求配置了相应的检测设备，均采用委外送检的方式。</w:t>
            </w:r>
            <w:r>
              <w:rPr>
                <w:rFonts w:hint="eastAsia" w:ascii="宋体" w:hAnsi="宋体" w:cs="宋体"/>
                <w:szCs w:val="21"/>
                <w:lang w:val="en-US" w:eastAsia="zh-CN"/>
              </w:rPr>
              <w:t>查在用检测设备的校准证书在有效期内，</w:t>
            </w:r>
            <w:r>
              <w:rPr>
                <w:rFonts w:hint="eastAsia" w:ascii="宋体" w:hAnsi="宋体" w:cs="宋体"/>
                <w:b/>
                <w:bCs/>
                <w:szCs w:val="21"/>
                <w:lang w:val="en-US" w:eastAsia="zh-CN"/>
              </w:rPr>
              <w:t>但</w:t>
            </w:r>
            <w:r>
              <w:rPr>
                <w:rFonts w:hint="eastAsia" w:ascii="宋体" w:hAnsi="宋体"/>
                <w:b/>
                <w:bCs/>
                <w:szCs w:val="21"/>
                <w:highlight w:val="none"/>
              </w:rPr>
              <w:t>现场</w:t>
            </w:r>
            <w:r>
              <w:rPr>
                <w:rFonts w:hint="eastAsia" w:ascii="宋体" w:hAnsi="宋体"/>
                <w:b/>
                <w:bCs/>
                <w:szCs w:val="21"/>
                <w:highlight w:val="none"/>
                <w:lang w:val="en-US" w:eastAsia="zh-CN"/>
              </w:rPr>
              <w:t>未</w:t>
            </w:r>
            <w:r>
              <w:rPr>
                <w:rFonts w:hint="eastAsia" w:ascii="宋体" w:hAnsi="宋体"/>
                <w:b/>
                <w:bCs/>
                <w:szCs w:val="21"/>
                <w:highlight w:val="none"/>
              </w:rPr>
              <w:t>提供</w:t>
            </w:r>
            <w:r>
              <w:rPr>
                <w:rFonts w:hint="eastAsia" w:ascii="宋体" w:hAnsi="宋体"/>
                <w:b/>
                <w:bCs/>
                <w:szCs w:val="21"/>
                <w:highlight w:val="none"/>
                <w:lang w:val="en-US" w:eastAsia="zh-CN"/>
              </w:rPr>
              <w:t>酒精计的</w:t>
            </w:r>
            <w:r>
              <w:rPr>
                <w:rFonts w:hint="eastAsia" w:ascii="宋体" w:hAnsi="宋体"/>
                <w:b/>
                <w:bCs/>
                <w:szCs w:val="21"/>
                <w:highlight w:val="none"/>
              </w:rPr>
              <w:t>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w:t>
            </w:r>
            <w:bookmarkStart w:id="21" w:name="_GoBack"/>
            <w:bookmarkEnd w:id="21"/>
            <w:r>
              <w:rPr>
                <w:rFonts w:hint="eastAsia" w:ascii="宋体" w:hAnsi="宋体" w:cs="宋体"/>
                <w:color w:val="000000"/>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1</w:t>
            </w:r>
            <w:r>
              <w:rPr>
                <w:rFonts w:hint="eastAsia"/>
                <w:b/>
                <w:color w:val="000000" w:themeColor="text1"/>
                <w:sz w:val="20"/>
                <w:szCs w:val="20"/>
                <w:highlight w:val="none"/>
              </w:rPr>
              <w:t xml:space="preserve">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25-26</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cs="宋体"/>
                <w:color w:val="000000"/>
                <w:szCs w:val="21"/>
                <w:highlight w:val="none"/>
                <w:lang w:val="en-US" w:eastAsia="zh-CN"/>
              </w:rPr>
              <w:t>经营</w:t>
            </w:r>
            <w:r>
              <w:rPr>
                <w:rFonts w:hint="eastAsia" w:ascii="宋体" w:hAnsi="宋体" w:cs="宋体"/>
                <w:color w:val="000000"/>
                <w:szCs w:val="21"/>
                <w:highlight w:val="none"/>
                <w:lang w:eastAsia="zh-CN"/>
              </w:rPr>
              <w:t>部</w:t>
            </w:r>
            <w:r>
              <w:rPr>
                <w:rFonts w:hint="eastAsia" w:ascii="宋体" w:hAnsi="宋体" w:cs="宋体"/>
                <w:color w:val="000000"/>
                <w:szCs w:val="21"/>
                <w:highlight w:val="none"/>
                <w:lang w:val="en-US" w:eastAsia="zh-CN"/>
              </w:rPr>
              <w:t>不符合标准8.4.1条款，</w:t>
            </w:r>
            <w:r>
              <w:rPr>
                <w:rFonts w:hint="eastAsia" w:ascii="宋体" w:hAnsi="宋体" w:cs="宋体"/>
                <w:color w:val="000000"/>
                <w:szCs w:val="21"/>
                <w:highlight w:val="none"/>
              </w:rPr>
              <w:t>查</w:t>
            </w:r>
            <w:r>
              <w:rPr>
                <w:rFonts w:hint="eastAsia" w:ascii="宋体" w:hAnsi="宋体" w:cs="宋体"/>
                <w:color w:val="000000"/>
                <w:szCs w:val="21"/>
                <w:highlight w:val="none"/>
                <w:lang w:eastAsia="zh-CN"/>
              </w:rPr>
              <w:t>经营部对顾客方的评审，未见相关评审的证据</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10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一阶段审核不符合情况：</w:t>
            </w: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975" w:firstLineChars="23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2019年12月11日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00917"/>
    <w:rsid w:val="0171748D"/>
    <w:rsid w:val="052F6868"/>
    <w:rsid w:val="0574145E"/>
    <w:rsid w:val="0672764A"/>
    <w:rsid w:val="0715372F"/>
    <w:rsid w:val="09132F71"/>
    <w:rsid w:val="0A5A6168"/>
    <w:rsid w:val="0AB36D09"/>
    <w:rsid w:val="0BD4063C"/>
    <w:rsid w:val="0C187ED2"/>
    <w:rsid w:val="0C601341"/>
    <w:rsid w:val="0F873817"/>
    <w:rsid w:val="11707F26"/>
    <w:rsid w:val="15190D2B"/>
    <w:rsid w:val="15FD7F3A"/>
    <w:rsid w:val="17487F8F"/>
    <w:rsid w:val="1C2134AB"/>
    <w:rsid w:val="1CA16AC7"/>
    <w:rsid w:val="1D54172B"/>
    <w:rsid w:val="1D6948D0"/>
    <w:rsid w:val="1E070D68"/>
    <w:rsid w:val="225C56C9"/>
    <w:rsid w:val="23630935"/>
    <w:rsid w:val="246313BC"/>
    <w:rsid w:val="275473AC"/>
    <w:rsid w:val="2C8E7F6B"/>
    <w:rsid w:val="2FCD0381"/>
    <w:rsid w:val="31D16A8E"/>
    <w:rsid w:val="32160776"/>
    <w:rsid w:val="34205EAA"/>
    <w:rsid w:val="34B1395D"/>
    <w:rsid w:val="35BB3DE9"/>
    <w:rsid w:val="37FA709E"/>
    <w:rsid w:val="38C95711"/>
    <w:rsid w:val="3AC45A4B"/>
    <w:rsid w:val="3DA9545A"/>
    <w:rsid w:val="3E26780F"/>
    <w:rsid w:val="40920A1B"/>
    <w:rsid w:val="412A4514"/>
    <w:rsid w:val="429A25F6"/>
    <w:rsid w:val="44A9101C"/>
    <w:rsid w:val="44B43019"/>
    <w:rsid w:val="45C119CC"/>
    <w:rsid w:val="483C0D98"/>
    <w:rsid w:val="4A314BDD"/>
    <w:rsid w:val="4A851F5E"/>
    <w:rsid w:val="4BA25279"/>
    <w:rsid w:val="4BBB78DB"/>
    <w:rsid w:val="4C100656"/>
    <w:rsid w:val="4D5A1E3F"/>
    <w:rsid w:val="4F4403A4"/>
    <w:rsid w:val="50B91DE0"/>
    <w:rsid w:val="50C119B1"/>
    <w:rsid w:val="52DC49D9"/>
    <w:rsid w:val="56010370"/>
    <w:rsid w:val="56D2296E"/>
    <w:rsid w:val="56E149F1"/>
    <w:rsid w:val="57BE779E"/>
    <w:rsid w:val="59F77CC2"/>
    <w:rsid w:val="5D353777"/>
    <w:rsid w:val="5D5D4CA4"/>
    <w:rsid w:val="5EAE499B"/>
    <w:rsid w:val="5F15772F"/>
    <w:rsid w:val="5FF347A5"/>
    <w:rsid w:val="614F56A6"/>
    <w:rsid w:val="62A908DE"/>
    <w:rsid w:val="632A352F"/>
    <w:rsid w:val="637E5820"/>
    <w:rsid w:val="63D80E2E"/>
    <w:rsid w:val="664C4BEF"/>
    <w:rsid w:val="6678079F"/>
    <w:rsid w:val="692142CD"/>
    <w:rsid w:val="697A17ED"/>
    <w:rsid w:val="705941A7"/>
    <w:rsid w:val="70F531C6"/>
    <w:rsid w:val="71FE410F"/>
    <w:rsid w:val="742B62D7"/>
    <w:rsid w:val="74815336"/>
    <w:rsid w:val="74E45131"/>
    <w:rsid w:val="75020E6A"/>
    <w:rsid w:val="752D427C"/>
    <w:rsid w:val="762C0243"/>
    <w:rsid w:val="782500B4"/>
    <w:rsid w:val="78CD08A1"/>
    <w:rsid w:val="79F73848"/>
    <w:rsid w:val="7A123A0D"/>
    <w:rsid w:val="7A561F43"/>
    <w:rsid w:val="7B454759"/>
    <w:rsid w:val="7CE323E2"/>
    <w:rsid w:val="7EB41B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2019-12-10T00:29:33Z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