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6"/>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7"/>
        <w:gridCol w:w="1126"/>
        <w:gridCol w:w="6492"/>
        <w:gridCol w:w="15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五矿盐湖有限公司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r>
              <w:rPr>
                <w:rFonts w:hint="eastAsia"/>
                <w:b/>
                <w:szCs w:val="21"/>
              </w:rPr>
              <w:t>■</w:t>
            </w:r>
            <w:r>
              <w:rPr>
                <w:b/>
                <w:spacing w:val="-2"/>
                <w:szCs w:val="21"/>
              </w:rPr>
              <w:t>E</w:t>
            </w:r>
            <w:r>
              <w:rPr>
                <w:rFonts w:hint="eastAsia"/>
                <w:b/>
                <w:spacing w:val="-2"/>
                <w:szCs w:val="21"/>
              </w:rPr>
              <w:t>n</w:t>
            </w:r>
            <w:r>
              <w:rPr>
                <w:b/>
                <w:spacing w:val="-2"/>
                <w:szCs w:val="21"/>
              </w:rPr>
              <w:t>MS</w:t>
            </w:r>
            <w:bookmarkStart w:id="5" w:name="F勾选"/>
            <w:r>
              <w:rPr>
                <w:rFonts w:hint="eastAsia" w:cs="宋体"/>
                <w:b/>
                <w:szCs w:val="21"/>
              </w:rPr>
              <w:t>□</w:t>
            </w:r>
            <w:bookmarkEnd w:id="5"/>
            <w:r>
              <w:rPr>
                <w:rFonts w:hint="eastAsia" w:ascii="宋体" w:hAnsi="宋体"/>
                <w:szCs w:val="21"/>
              </w:rPr>
              <w:t xml:space="preserve">FSMS </w:t>
            </w:r>
            <w:bookmarkStart w:id="6" w:name="H勾选"/>
            <w:r>
              <w:rPr>
                <w:rFonts w:hint="eastAsia" w:cs="宋体"/>
                <w:b/>
                <w:szCs w:val="21"/>
              </w:rPr>
              <w:t>□</w:t>
            </w:r>
            <w:bookmarkEnd w:id="6"/>
            <w:r>
              <w:rPr>
                <w:rFonts w:hint="eastAsia" w:ascii="宋体" w:hAnsi="宋体"/>
                <w:szCs w:val="21"/>
              </w:rPr>
              <w:t>HACCP</w:t>
            </w:r>
          </w:p>
          <w:p>
            <w:bookmarkStart w:id="7" w:name="初审"/>
            <w:r>
              <w:rPr>
                <w:rFonts w:hint="eastAsia"/>
                <w:b/>
                <w:szCs w:val="21"/>
              </w:rPr>
              <w:t>■</w:t>
            </w:r>
            <w:bookmarkEnd w:id="7"/>
            <w:r>
              <w:rPr>
                <w:rFonts w:hint="eastAsia"/>
                <w:b/>
                <w:szCs w:val="21"/>
              </w:rPr>
              <w:t xml:space="preserve">初审第( </w:t>
            </w:r>
            <w:r>
              <w:rPr>
                <w:rFonts w:hint="eastAsia"/>
                <w:b/>
                <w:szCs w:val="21"/>
                <w:lang w:val="en-US" w:eastAsia="zh-CN"/>
              </w:rPr>
              <w:t>二</w:t>
            </w:r>
            <w:r>
              <w:rPr>
                <w:rFonts w:hint="eastAsia"/>
                <w:b/>
                <w:szCs w:val="21"/>
              </w:rPr>
              <w:t xml:space="preserve"> )阶段审核</w:t>
            </w:r>
            <w:bookmarkStart w:id="8" w:name="再认证勾选"/>
            <w:r>
              <w:rPr>
                <w:rFonts w:hint="eastAsia"/>
                <w:b/>
                <w:szCs w:val="21"/>
              </w:rPr>
              <w:t>□</w:t>
            </w:r>
            <w:bookmarkEnd w:id="8"/>
            <w:r>
              <w:rPr>
                <w:rFonts w:hint="eastAsia"/>
                <w:b/>
                <w:szCs w:val="21"/>
              </w:rPr>
              <w:t>再认证</w:t>
            </w:r>
            <w:bookmarkStart w:id="9" w:name="监督勾选"/>
            <w:r>
              <w:rPr>
                <w:rFonts w:hint="eastAsia"/>
                <w:b/>
                <w:szCs w:val="21"/>
              </w:rPr>
              <w:t>□</w:t>
            </w:r>
            <w:bookmarkEnd w:id="9"/>
            <w:r>
              <w:rPr>
                <w:rFonts w:hint="eastAsia"/>
                <w:b/>
                <w:szCs w:val="21"/>
              </w:rPr>
              <w:t>监督（</w:t>
            </w:r>
            <w:bookmarkStart w:id="10" w:name="监督次数"/>
            <w:bookmarkEnd w:id="10"/>
            <w:r>
              <w:rPr>
                <w:rFonts w:hint="eastAsia"/>
                <w:b/>
                <w:szCs w:val="21"/>
              </w:rPr>
              <w:t>）次□证书转换</w:t>
            </w:r>
            <w:bookmarkStart w:id="11" w:name="特殊审核勾选"/>
            <w:r>
              <w:rPr>
                <w:rFonts w:hint="eastAsia"/>
                <w:b/>
                <w:szCs w:val="21"/>
              </w:rPr>
              <w:t>□</w:t>
            </w:r>
            <w:bookmarkEnd w:id="11"/>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17"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7618"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1588"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exact"/>
          <w:jc w:val="center"/>
        </w:trPr>
        <w:tc>
          <w:tcPr>
            <w:tcW w:w="717"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7618" w:type="dxa"/>
            <w:gridSpan w:val="2"/>
            <w:tcBorders>
              <w:left w:val="single" w:color="auto" w:sz="4" w:space="0"/>
              <w:right w:val="single" w:color="auto" w:sz="4" w:space="0"/>
            </w:tcBorders>
            <w:vAlign w:val="center"/>
          </w:tcPr>
          <w:p>
            <w:pPr>
              <w:jc w:val="left"/>
              <w:rPr>
                <w:rFonts w:hint="default" w:ascii="方正仿宋简体" w:eastAsia="方正仿宋简体"/>
                <w:b/>
                <w:lang w:val="en-US" w:eastAsia="zh-CN"/>
              </w:rPr>
            </w:pPr>
            <w:r>
              <w:rPr>
                <w:rFonts w:hint="eastAsia" w:ascii="Times New Roman" w:hAnsi="Times New Roman" w:eastAsia="宋体" w:cs="Times New Roman"/>
                <w:lang w:val="en-US" w:eastAsia="zh-CN"/>
              </w:rPr>
              <w:t>提供的合规性评价报告无能源的内容</w:t>
            </w:r>
          </w:p>
        </w:tc>
        <w:tc>
          <w:tcPr>
            <w:tcW w:w="1588" w:type="dxa"/>
            <w:tcBorders>
              <w:left w:val="single" w:color="auto" w:sz="4" w:space="0"/>
            </w:tcBorders>
            <w:vAlign w:val="center"/>
          </w:tcPr>
          <w:p>
            <w:pPr>
              <w:jc w:val="center"/>
              <w:rPr>
                <w:rFonts w:hint="default" w:ascii="方正仿宋简体" w:eastAsia="方正仿宋简体"/>
                <w:b/>
                <w:lang w:val="en-US" w:eastAsia="zh-CN"/>
              </w:rPr>
            </w:pPr>
            <w:bookmarkStart w:id="12" w:name="_GoBack"/>
            <w:bookmarkEnd w:id="12"/>
            <w:r>
              <w:rPr>
                <w:rFonts w:hint="eastAsia" w:ascii="方正仿宋简体" w:eastAsia="方正仿宋简体"/>
                <w:b/>
                <w:lang w:val="en-US" w:eastAsia="zh-CN"/>
              </w:rPr>
              <w:t>已经提供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9" w:hRule="exact"/>
          <w:jc w:val="center"/>
        </w:trPr>
        <w:tc>
          <w:tcPr>
            <w:tcW w:w="717" w:type="dxa"/>
            <w:tcBorders>
              <w:right w:val="single" w:color="auto" w:sz="4" w:space="0"/>
            </w:tcBorders>
            <w:vAlign w:val="center"/>
          </w:tcPr>
          <w:p>
            <w:pPr>
              <w:jc w:val="center"/>
              <w:rPr>
                <w:rFonts w:hint="eastAsia" w:eastAsia="宋体"/>
                <w:lang w:val="en-US" w:eastAsia="zh-CN"/>
              </w:rPr>
            </w:pPr>
            <w:r>
              <w:rPr>
                <w:rFonts w:hint="eastAsia"/>
                <w:lang w:val="en-US" w:eastAsia="zh-CN"/>
              </w:rPr>
              <w:t>2</w:t>
            </w:r>
          </w:p>
        </w:tc>
        <w:tc>
          <w:tcPr>
            <w:tcW w:w="761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eastAsia"/>
                <w:lang w:val="en-US" w:eastAsia="zh-CN"/>
              </w:rPr>
            </w:pPr>
            <w:r>
              <w:rPr>
                <w:rFonts w:hint="eastAsia"/>
                <w:lang w:val="en-US" w:eastAsia="zh-CN"/>
              </w:rPr>
              <w:t>提供的环境保护管理制度第二十四条显示“</w:t>
            </w:r>
            <w:r>
              <w:rPr>
                <w:rFonts w:hint="eastAsia" w:asciiTheme="majorEastAsia" w:hAnsiTheme="majorEastAsia" w:eastAsiaTheme="majorEastAsia" w:cstheme="majorEastAsia"/>
                <w:color w:val="auto"/>
                <w:sz w:val="21"/>
                <w:szCs w:val="21"/>
                <w:lang w:val="en-US" w:eastAsia="zh-CN"/>
              </w:rPr>
              <w:t xml:space="preserve"> 一吨以上锅炉燃煤排放含有硫化物气体的，必须配备脱硫设施或采取其它脱硫措施使有毒有害物质的含量或排放量达到国家排放标准</w:t>
            </w:r>
            <w:r>
              <w:rPr>
                <w:rFonts w:hint="eastAsia"/>
                <w:lang w:val="en-US" w:eastAsia="zh-CN"/>
              </w:rPr>
              <w:t>”但该企业不存在燃煤锅炉；</w:t>
            </w:r>
          </w:p>
          <w:p>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eastAsia="宋体"/>
                <w:lang w:val="en-US" w:eastAsia="zh-CN"/>
              </w:rPr>
            </w:pPr>
            <w:r>
              <w:rPr>
                <w:rFonts w:hint="eastAsia" w:asciiTheme="majorEastAsia" w:hAnsiTheme="majorEastAsia" w:eastAsiaTheme="majorEastAsia" w:cstheme="majorEastAsia"/>
                <w:color w:val="auto"/>
                <w:sz w:val="21"/>
                <w:szCs w:val="21"/>
                <w:lang w:val="en-US" w:eastAsia="zh-CN"/>
              </w:rPr>
              <w:t>危险废物管理制度第三十六条</w:t>
            </w:r>
            <w:r>
              <w:rPr>
                <w:rFonts w:hint="eastAsia"/>
                <w:lang w:val="en-US" w:eastAsia="zh-CN"/>
              </w:rPr>
              <w:t>“</w:t>
            </w:r>
            <w:r>
              <w:rPr>
                <w:rFonts w:hint="eastAsia" w:asciiTheme="majorEastAsia" w:hAnsiTheme="majorEastAsia" w:eastAsiaTheme="majorEastAsia" w:cstheme="majorEastAsia"/>
                <w:color w:val="auto"/>
                <w:sz w:val="21"/>
                <w:szCs w:val="21"/>
                <w:lang w:val="en-US" w:eastAsia="zh-CN"/>
              </w:rPr>
              <w:t>安全环保部部长负责对储存危险固体废弃物库房进行检查，检查频率不少于每月一次并签字确认。</w:t>
            </w:r>
            <w:r>
              <w:rPr>
                <w:rFonts w:hint="eastAsia"/>
                <w:lang w:val="en-US" w:eastAsia="zh-CN"/>
              </w:rPr>
              <w:t>”制度不宜操作和执行。</w:t>
            </w:r>
          </w:p>
        </w:tc>
        <w:tc>
          <w:tcPr>
            <w:tcW w:w="1588"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2" w:hRule="exact"/>
          <w:jc w:val="center"/>
        </w:trPr>
        <w:tc>
          <w:tcPr>
            <w:tcW w:w="717" w:type="dxa"/>
            <w:tcBorders>
              <w:right w:val="single" w:color="auto" w:sz="4" w:space="0"/>
            </w:tcBorders>
            <w:vAlign w:val="center"/>
          </w:tcPr>
          <w:p>
            <w:pPr>
              <w:jc w:val="center"/>
              <w:rPr>
                <w:rFonts w:hint="eastAsia" w:eastAsia="宋体"/>
                <w:lang w:val="en-US" w:eastAsia="zh-CN"/>
              </w:rPr>
            </w:pPr>
            <w:r>
              <w:rPr>
                <w:rFonts w:hint="eastAsia"/>
                <w:lang w:val="en-US" w:eastAsia="zh-CN"/>
              </w:rPr>
              <w:t>3</w:t>
            </w:r>
          </w:p>
        </w:tc>
        <w:tc>
          <w:tcPr>
            <w:tcW w:w="7618" w:type="dxa"/>
            <w:gridSpan w:val="2"/>
            <w:tcBorders>
              <w:left w:val="single" w:color="auto" w:sz="4" w:space="0"/>
              <w:right w:val="single" w:color="auto" w:sz="4" w:space="0"/>
            </w:tcBorders>
            <w:vAlign w:val="center"/>
          </w:tcPr>
          <w:p>
            <w:pPr>
              <w:jc w:val="left"/>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提供的五矿盐湖重要环境因素清单，如重要环境因素——废气——其环境影响为“气候”，措施为“一氧化碳废气达标排放”不适宜</w:t>
            </w:r>
          </w:p>
        </w:tc>
        <w:tc>
          <w:tcPr>
            <w:tcW w:w="1588"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exact"/>
          <w:jc w:val="center"/>
        </w:trPr>
        <w:tc>
          <w:tcPr>
            <w:tcW w:w="717" w:type="dxa"/>
            <w:tcBorders>
              <w:right w:val="single" w:color="auto" w:sz="4" w:space="0"/>
            </w:tcBorders>
            <w:vAlign w:val="center"/>
          </w:tcPr>
          <w:p>
            <w:pPr>
              <w:rPr>
                <w:rFonts w:hint="eastAsia" w:eastAsia="宋体"/>
                <w:lang w:val="en-US" w:eastAsia="zh-CN"/>
              </w:rPr>
            </w:pPr>
            <w:r>
              <w:rPr>
                <w:rFonts w:hint="eastAsia"/>
                <w:lang w:val="en-US" w:eastAsia="zh-CN"/>
              </w:rPr>
              <w:t>4</w:t>
            </w:r>
          </w:p>
        </w:tc>
        <w:tc>
          <w:tcPr>
            <w:tcW w:w="7618" w:type="dxa"/>
            <w:gridSpan w:val="2"/>
            <w:tcBorders>
              <w:left w:val="single" w:color="auto" w:sz="4" w:space="0"/>
              <w:right w:val="single" w:color="auto" w:sz="4" w:space="0"/>
            </w:tcBorders>
            <w:vAlign w:val="center"/>
          </w:tcPr>
          <w:p>
            <w:pPr>
              <w:jc w:val="left"/>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研发中心提供的高风险评估报告显示无重大风险，但提供了一项重大风险及管控措施清单，描述不一致。</w:t>
            </w:r>
          </w:p>
        </w:tc>
        <w:tc>
          <w:tcPr>
            <w:tcW w:w="1588"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exact"/>
          <w:jc w:val="center"/>
        </w:trPr>
        <w:tc>
          <w:tcPr>
            <w:tcW w:w="717" w:type="dxa"/>
            <w:tcBorders>
              <w:right w:val="single" w:color="auto" w:sz="4" w:space="0"/>
            </w:tcBorders>
            <w:vAlign w:val="center"/>
          </w:tcPr>
          <w:p>
            <w:pPr>
              <w:rPr>
                <w:rFonts w:hint="eastAsia" w:eastAsia="宋体"/>
                <w:lang w:val="en-US" w:eastAsia="zh-CN"/>
              </w:rPr>
            </w:pPr>
            <w:r>
              <w:rPr>
                <w:rFonts w:hint="eastAsia"/>
                <w:lang w:val="en-US" w:eastAsia="zh-CN"/>
              </w:rPr>
              <w:t>5</w:t>
            </w:r>
          </w:p>
        </w:tc>
        <w:tc>
          <w:tcPr>
            <w:tcW w:w="7618" w:type="dxa"/>
            <w:gridSpan w:val="2"/>
            <w:tcBorders>
              <w:left w:val="single" w:color="auto" w:sz="4" w:space="0"/>
              <w:right w:val="single" w:color="auto" w:sz="4" w:space="0"/>
            </w:tcBorders>
            <w:vAlign w:val="center"/>
          </w:tcPr>
          <w:p>
            <w:pPr>
              <w:jc w:val="left"/>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提供的“各事业部管理目标指标考核”没有针对性，如原料检验及时率、过程检验及时率、成品检验合格率等指标对事业部来说不具有操作性。</w:t>
            </w:r>
            <w:r>
              <w:rPr>
                <w:rFonts w:hint="eastAsia" w:cs="Times New Roman"/>
                <w:szCs w:val="22"/>
                <w:highlight w:val="none"/>
                <w:lang w:val="en-US" w:eastAsia="zh-CN"/>
              </w:rPr>
              <w:t>如：锂事业部制定预处理的收率、沉锂的收率、碳酸锂的总回收率、锂生产系统总收率等指标更为适宜。</w:t>
            </w:r>
          </w:p>
        </w:tc>
        <w:tc>
          <w:tcPr>
            <w:tcW w:w="1588"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1" w:hRule="exact"/>
          <w:jc w:val="center"/>
        </w:trPr>
        <w:tc>
          <w:tcPr>
            <w:tcW w:w="717" w:type="dxa"/>
            <w:tcBorders>
              <w:right w:val="single" w:color="auto" w:sz="4" w:space="0"/>
            </w:tcBorders>
            <w:vAlign w:val="center"/>
          </w:tcPr>
          <w:p>
            <w:pPr>
              <w:rPr>
                <w:rFonts w:hint="eastAsia" w:eastAsia="宋体"/>
                <w:lang w:val="en-US" w:eastAsia="zh-CN"/>
              </w:rPr>
            </w:pPr>
            <w:r>
              <w:rPr>
                <w:rFonts w:hint="eastAsia"/>
                <w:lang w:val="en-US" w:eastAsia="zh-CN"/>
              </w:rPr>
              <w:t>6</w:t>
            </w:r>
          </w:p>
        </w:tc>
        <w:tc>
          <w:tcPr>
            <w:tcW w:w="7618" w:type="dxa"/>
            <w:gridSpan w:val="2"/>
            <w:tcBorders>
              <w:left w:val="single" w:color="auto" w:sz="4" w:space="0"/>
              <w:right w:val="single" w:color="auto" w:sz="4" w:space="0"/>
            </w:tcBorders>
            <w:vAlign w:val="center"/>
          </w:tcPr>
          <w:p>
            <w:pPr>
              <w:jc w:val="left"/>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未按照企业实际的机构设置进行识别和评价，如锂事业部实际上是由预处理车间、沉锂车间、母液车间、中试车间组成，环境因素评价表中描述的是一车间和二车间，如何判断识别的有效性？</w:t>
            </w:r>
          </w:p>
        </w:tc>
        <w:tc>
          <w:tcPr>
            <w:tcW w:w="1588"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exact"/>
          <w:jc w:val="center"/>
        </w:trPr>
        <w:tc>
          <w:tcPr>
            <w:tcW w:w="717" w:type="dxa"/>
            <w:tcBorders>
              <w:right w:val="single" w:color="auto" w:sz="4" w:space="0"/>
            </w:tcBorders>
            <w:vAlign w:val="center"/>
          </w:tcPr>
          <w:p>
            <w:pPr>
              <w:rPr>
                <w:rFonts w:hint="eastAsia" w:eastAsia="宋体"/>
                <w:lang w:val="en-US" w:eastAsia="zh-CN"/>
              </w:rPr>
            </w:pPr>
            <w:r>
              <w:rPr>
                <w:rFonts w:hint="eastAsia"/>
                <w:lang w:val="en-US" w:eastAsia="zh-CN"/>
              </w:rPr>
              <w:t>7</w:t>
            </w:r>
          </w:p>
        </w:tc>
        <w:tc>
          <w:tcPr>
            <w:tcW w:w="7618" w:type="dxa"/>
            <w:gridSpan w:val="2"/>
            <w:tcBorders>
              <w:left w:val="single" w:color="auto" w:sz="4" w:space="0"/>
              <w:right w:val="single" w:color="auto" w:sz="4" w:space="0"/>
            </w:tcBorders>
            <w:vAlign w:val="center"/>
          </w:tcPr>
          <w:p>
            <w:pPr>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锂、钾事业部的人员对能源管理体系的相关术语和定义尚不熟悉。还需要进一步强化标准的学习</w:t>
            </w:r>
          </w:p>
        </w:tc>
        <w:tc>
          <w:tcPr>
            <w:tcW w:w="1588"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7" w:hRule="exact"/>
          <w:jc w:val="center"/>
        </w:trPr>
        <w:tc>
          <w:tcPr>
            <w:tcW w:w="717" w:type="dxa"/>
            <w:tcBorders>
              <w:right w:val="single" w:color="auto" w:sz="4" w:space="0"/>
            </w:tcBorders>
            <w:vAlign w:val="center"/>
          </w:tcPr>
          <w:p>
            <w:pPr>
              <w:rPr>
                <w:rFonts w:hint="eastAsia" w:eastAsia="宋体"/>
                <w:lang w:val="en-US" w:eastAsia="zh-CN"/>
              </w:rPr>
            </w:pPr>
            <w:r>
              <w:rPr>
                <w:rFonts w:hint="eastAsia"/>
                <w:lang w:val="en-US" w:eastAsia="zh-CN"/>
              </w:rPr>
              <w:t>8</w:t>
            </w:r>
          </w:p>
        </w:tc>
        <w:tc>
          <w:tcPr>
            <w:tcW w:w="7618" w:type="dxa"/>
            <w:gridSpan w:val="2"/>
            <w:tcBorders>
              <w:left w:val="single" w:color="auto" w:sz="4" w:space="0"/>
              <w:right w:val="single" w:color="auto" w:sz="4" w:space="0"/>
            </w:tcBorders>
            <w:vAlign w:val="center"/>
          </w:tcPr>
          <w:p>
            <w:pPr>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企业未开展清洁生产审核：根据中华人民共和国国家发展和改革委员会、中华人民共和国环境保护部2016年5月16日发布的第 38 号令《清洁生产审核办法》“第二章 清洁生产审核范围”要求“第八条 有下列情形之一的企业，应当实施强制性清洁生产审核：（三）使用有毒有害原料进行生产或者在生产中排放有毒有害物质的。其中有毒有害原料或物质包括以下几类：第一类，危险废物。包括列入《国家危险废物名录》的危险废物，以及根据国家规定的危险废物鉴别标准和鉴别方法认定的具有危险特性的废物。”</w:t>
            </w:r>
          </w:p>
        </w:tc>
        <w:tc>
          <w:tcPr>
            <w:tcW w:w="1588"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4" w:hRule="exact"/>
          <w:jc w:val="center"/>
        </w:trPr>
        <w:tc>
          <w:tcPr>
            <w:tcW w:w="717" w:type="dxa"/>
            <w:tcBorders>
              <w:right w:val="single" w:color="auto" w:sz="4" w:space="0"/>
            </w:tcBorders>
            <w:vAlign w:val="center"/>
          </w:tcPr>
          <w:p>
            <w:pPr>
              <w:rPr>
                <w:rFonts w:hint="default"/>
                <w:lang w:val="en-US" w:eastAsia="zh-CN"/>
              </w:rPr>
            </w:pPr>
            <w:r>
              <w:rPr>
                <w:rFonts w:hint="eastAsia"/>
                <w:lang w:val="en-US" w:eastAsia="zh-CN"/>
              </w:rPr>
              <w:t>9</w:t>
            </w:r>
          </w:p>
        </w:tc>
        <w:tc>
          <w:tcPr>
            <w:tcW w:w="7618" w:type="dxa"/>
            <w:gridSpan w:val="2"/>
            <w:tcBorders>
              <w:left w:val="single" w:color="auto" w:sz="4" w:space="0"/>
              <w:right w:val="single" w:color="auto" w:sz="4" w:space="0"/>
            </w:tcBorders>
            <w:vAlign w:val="center"/>
          </w:tcPr>
          <w:p>
            <w:pPr>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管理目标制定不具有测量性</w:t>
            </w:r>
          </w:p>
        </w:tc>
        <w:tc>
          <w:tcPr>
            <w:tcW w:w="1588"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exact"/>
          <w:jc w:val="center"/>
        </w:trPr>
        <w:tc>
          <w:tcPr>
            <w:tcW w:w="717" w:type="dxa"/>
            <w:tcBorders>
              <w:right w:val="single" w:color="auto" w:sz="4" w:space="0"/>
            </w:tcBorders>
            <w:vAlign w:val="center"/>
          </w:tcPr>
          <w:p>
            <w:pPr>
              <w:rPr>
                <w:rFonts w:hint="default"/>
                <w:lang w:val="en-US" w:eastAsia="zh-CN"/>
              </w:rPr>
            </w:pPr>
            <w:r>
              <w:rPr>
                <w:rFonts w:hint="eastAsia"/>
                <w:lang w:val="en-US" w:eastAsia="zh-CN"/>
              </w:rPr>
              <w:t>10</w:t>
            </w:r>
          </w:p>
        </w:tc>
        <w:tc>
          <w:tcPr>
            <w:tcW w:w="7618" w:type="dxa"/>
            <w:gridSpan w:val="2"/>
            <w:tcBorders>
              <w:left w:val="single" w:color="auto" w:sz="4" w:space="0"/>
              <w:right w:val="single" w:color="auto" w:sz="4" w:space="0"/>
            </w:tcBorders>
            <w:vAlign w:val="center"/>
          </w:tcPr>
          <w:p>
            <w:pPr>
              <w:jc w:val="lef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内部审核缺乏实效性</w:t>
            </w:r>
          </w:p>
        </w:tc>
        <w:tc>
          <w:tcPr>
            <w:tcW w:w="1588"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sz w:val="18"/>
      </w:rPr>
    </w:pPr>
    <w:r>
      <w:drawing>
        <wp:anchor distT="0" distB="0" distL="114300" distR="114300" simplePos="0" relativeHeight="251660288"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5003800</wp:posOffset>
              </wp:positionH>
              <wp:positionV relativeFrom="paragraph">
                <wp:posOffset>144145</wp:posOffset>
              </wp:positionV>
              <wp:extent cx="1216025" cy="252730"/>
              <wp:effectExtent l="0" t="0" r="3175" b="1270"/>
              <wp:wrapNone/>
              <wp:docPr id="1" name="文本框 1"/>
              <wp:cNvGraphicFramePr/>
              <a:graphic xmlns:a="http://schemas.openxmlformats.org/drawingml/2006/main">
                <a:graphicData uri="http://schemas.microsoft.com/office/word/2010/wordprocessingShape">
                  <wps:wsp>
                    <wps:cNvSpPr txBox="1"/>
                    <wps:spPr>
                      <a:xfrm>
                        <a:off x="0" y="0"/>
                        <a:ext cx="1216025" cy="252730"/>
                      </a:xfrm>
                      <a:prstGeom prst="rect">
                        <a:avLst/>
                      </a:prstGeom>
                      <a:solidFill>
                        <a:srgbClr val="FFFFFF"/>
                      </a:solidFill>
                      <a:ln>
                        <a:noFill/>
                      </a:ln>
                    </wps:spPr>
                    <wps:txbx>
                      <w:txbxContent>
                        <w:p>
                          <w:pPr>
                            <w:rPr>
                              <w:sz w:val="18"/>
                              <w:szCs w:val="18"/>
                            </w:rPr>
                          </w:pPr>
                          <w:r>
                            <w:rPr>
                              <w:rFonts w:hint="eastAsia"/>
                              <w:sz w:val="18"/>
                              <w:szCs w:val="18"/>
                            </w:rPr>
                            <w:t>ISC-B-II-18(05版）</w:t>
                          </w:r>
                        </w:p>
                      </w:txbxContent>
                    </wps:txbx>
                    <wps:bodyPr upright="1"/>
                  </wps:wsp>
                </a:graphicData>
              </a:graphic>
            </wp:anchor>
          </w:drawing>
        </mc:Choice>
        <mc:Fallback>
          <w:pict>
            <v:shape id="_x0000_s1026" o:spid="_x0000_s1026" o:spt="202" type="#_x0000_t202" style="position:absolute;left:0pt;margin-left:394pt;margin-top:11.35pt;height:19.9pt;width:95.75pt;z-index:251659264;mso-width-relative:page;mso-height-relative:page;" fillcolor="#FFFFFF" filled="t" stroked="f" coordsize="21600,21600" o:gfxdata="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K9d5HXAAAACQEAAA8AAAAAAAAAAQAgAAAAIgAAAGRycy9kb3ducmV2Lnht&#10;bFBLAQIUABQAAAAIAIdO4kDNm0ECwQEAAHcDAAAOAAAAAAAAAAEAIAAAACYBAABkcnMvZTJvRG9j&#10;LnhtbFBLBQYAAAAABgAGAFkBAABZBQAAAAA=&#10;">
              <v:fill on="t" focussize="0,0"/>
              <v:stroke on="f"/>
              <v:imagedata o:title=""/>
              <o:lock v:ext="edit" aspectratio="f"/>
              <v:textbox>
                <w:txbxContent>
                  <w:p>
                    <w:pPr>
                      <w:rPr>
                        <w:sz w:val="18"/>
                        <w:szCs w:val="18"/>
                      </w:rPr>
                    </w:pPr>
                    <w:r>
                      <w:rPr>
                        <w:rFonts w:hint="eastAsia"/>
                        <w:sz w:val="18"/>
                        <w:szCs w:val="18"/>
                      </w:rPr>
                      <w:t>ISC-B-II-18(05版）</w:t>
                    </w:r>
                  </w:p>
                </w:txbxContent>
              </v:textbox>
            </v:shape>
          </w:pict>
        </mc:Fallback>
      </mc:AlternateContent>
    </w:r>
    <w:r>
      <w:rPr>
        <w:rStyle w:val="10"/>
        <w:rFonts w:hint="default"/>
        <w:sz w:val="18"/>
      </w:rPr>
      <w:t>北京国标联合认证有限公司</w:t>
    </w:r>
    <w:r>
      <w:rPr>
        <w:rStyle w:val="10"/>
        <w:rFonts w:hint="default"/>
        <w:sz w:val="18"/>
      </w:rPr>
      <w:tab/>
    </w:r>
    <w:r>
      <w:rPr>
        <w:rStyle w:val="10"/>
        <w:rFonts w:hint="default"/>
        <w:sz w:val="18"/>
      </w:rPr>
      <w:tab/>
    </w:r>
    <w:r>
      <w:rPr>
        <w:rStyle w:val="10"/>
        <w:rFonts w:hint="default"/>
        <w:sz w:val="18"/>
      </w:rPr>
      <w:tab/>
    </w:r>
  </w:p>
  <w:p>
    <w:pPr>
      <w:pStyle w:val="4"/>
      <w:pBdr>
        <w:bottom w:val="single" w:color="auto" w:sz="4" w:space="1"/>
      </w:pBdr>
      <w:spacing w:line="320" w:lineRule="exact"/>
      <w:ind w:firstLine="727" w:firstLineChars="449"/>
      <w:jc w:val="left"/>
    </w:pPr>
    <w:r>
      <w:rPr>
        <w:rStyle w:val="10"/>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3099"/>
    <w:rsid w:val="040754FE"/>
    <w:rsid w:val="1AD76F71"/>
    <w:rsid w:val="25356703"/>
    <w:rsid w:val="2F370A8D"/>
    <w:rsid w:val="37E260C6"/>
    <w:rsid w:val="3F6C0FF4"/>
    <w:rsid w:val="4A550972"/>
    <w:rsid w:val="66611062"/>
    <w:rsid w:val="6A583E32"/>
    <w:rsid w:val="6E8D3456"/>
    <w:rsid w:val="764B143C"/>
    <w:rsid w:val="79DF434E"/>
    <w:rsid w:val="7B891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538"/>
    </w:pPr>
    <w:rPr>
      <w:sz w:val="28"/>
      <w:szCs w:val="2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kern w:val="2"/>
      <w:sz w:val="18"/>
      <w:szCs w:val="18"/>
    </w:rPr>
  </w:style>
  <w:style w:type="character" w:customStyle="1" w:styleId="9">
    <w:name w:val="页脚 Char"/>
    <w:basedOn w:val="7"/>
    <w:link w:val="3"/>
    <w:qFormat/>
    <w:uiPriority w:val="99"/>
    <w:rPr>
      <w:rFonts w:ascii="Times New Roman" w:hAnsi="Times New Roman" w:eastAsia="宋体" w:cs="Times New Roman"/>
      <w:kern w:val="2"/>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4</TotalTime>
  <ScaleCrop>false</ScaleCrop>
  <LinksUpToDate>false</LinksUpToDate>
  <CharactersWithSpaces>192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开门大吉～ISO认证服务</cp:lastModifiedBy>
  <dcterms:modified xsi:type="dcterms:W3CDTF">2022-06-15T01:51:40Z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2052-11.1.0.11411</vt:lpwstr>
  </property>
</Properties>
</file>