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/>
                <w:b/>
                <w:sz w:val="25"/>
                <w:u w:val="single"/>
              </w:rPr>
              <w:t>五矿盐湖有限公司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t>Q：12.01.03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李丽英、伍光华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Q：12.01.03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氯化钾生产流程：光卤石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→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高效分解结晶析出→氯化钾料浆浮选→粗氯化钾洗涤过滤→湿氯化钾干燥包装→成品氯化钾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</w:rPr>
              <w:t>碳酸锂生产流程：</w:t>
            </w:r>
            <w:r>
              <w:rPr>
                <w:rFonts w:hint="eastAsia"/>
                <w:lang w:val="en-US" w:eastAsia="zh-CN"/>
              </w:rPr>
              <w:t>缓冲池（析钾老卤）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镁锂分离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板式换热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深度除镁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固液分离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精滤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调酸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板式换热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沉锂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压滤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浆化洗涤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离心分离及淋洗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干燥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气流粉碎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检验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碳酸锂转化过程、销售服务为特殊过程。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主要控制参数为：温度和时间的控制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产品质量法、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GB 6549-2011 氯化钾国家标准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、GBT11075-2013碳酸锂国家标准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钾、钠、锂、碳、硼元素和水分的检测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生产过程相关知识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104140</wp:posOffset>
                  </wp:positionV>
                  <wp:extent cx="698500" cy="266700"/>
                  <wp:effectExtent l="0" t="0" r="0" b="0"/>
                  <wp:wrapSquare wrapText="bothSides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66040</wp:posOffset>
                  </wp:positionV>
                  <wp:extent cx="641350" cy="304800"/>
                  <wp:effectExtent l="0" t="0" r="6350" b="0"/>
                  <wp:wrapSquare wrapText="bothSides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3"/>
        <w:gridCol w:w="126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5"/>
                <w:u w:val="single"/>
              </w:rPr>
              <w:t>五矿盐湖有限公司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t>E：12.01.03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李丽英、伍光华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E：12.01.03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氯化钾生产流程：光卤石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→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高效分解结晶析出→氯化钾料浆浮选→粗氯化钾洗涤过滤→湿氯化钾干燥包装→成品氯化钾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碳酸锂生产流程：</w:t>
            </w:r>
            <w:r>
              <w:rPr>
                <w:rFonts w:hint="eastAsia"/>
                <w:lang w:val="en-US" w:eastAsia="zh-CN"/>
              </w:rPr>
              <w:t>缓冲池（析钾老卤）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镁锂分离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板式换热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深度除镁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固液分离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精滤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调酸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板式换热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沉锂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压滤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浆化洗涤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离心分离及淋洗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干燥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气流粉碎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检验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生活污水排放、危险废物、危险化学品的泄漏、火灾等，制定了相应的管理措施和应急预案进行控制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青海省环境污染防治条例、突发环境事件调查处理办法、突发环境事件应急管理办法、建设项目环境保护管理条例、</w:t>
            </w: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青海省建设项目环境保护条例、排污许可管理办法、污染源自动监控管理办法</w:t>
            </w:r>
          </w:p>
          <w:p>
            <w:p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环境标准管理办法、危险废物转移联单管理办法、城市生活垃圾管理办法、大气污染综合排放标准等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提供了2022年3月8日由海西中科生态环境监测有限公司对三废的检测报告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环保运行相关知识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104140</wp:posOffset>
                  </wp:positionV>
                  <wp:extent cx="698500" cy="266700"/>
                  <wp:effectExtent l="0" t="0" r="0" b="0"/>
                  <wp:wrapSquare wrapText="bothSides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170815</wp:posOffset>
                  </wp:positionV>
                  <wp:extent cx="641350" cy="304800"/>
                  <wp:effectExtent l="0" t="0" r="6350" b="0"/>
                  <wp:wrapSquare wrapText="bothSides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5"/>
                <w:u w:val="single"/>
              </w:rPr>
              <w:t>五矿盐湖有限公司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bookmarkStart w:id="2" w:name="专业代码"/>
            <w:r>
              <w:t>O：12.01.03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李丽英、伍光华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O：12.01.03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氯化钾生产流程：光卤石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→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高效分解结晶析出→氯化钾料浆浮选→粗氯化钾洗涤过滤→湿氯化钾干燥包装→成品氯化钾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碳酸锂生产流程：</w:t>
            </w:r>
            <w:r>
              <w:rPr>
                <w:rFonts w:hint="eastAsia"/>
                <w:lang w:val="en-US" w:eastAsia="zh-CN"/>
              </w:rPr>
              <w:t>缓冲池（析钾老卤）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镁锂分离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板式换热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深度除镁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固液分离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精滤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调酸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板式换热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沉锂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压滤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浆化洗涤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离心分离及淋洗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干燥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气流粉碎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检验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风险：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交通事故、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等，制定了管理措施和应急预案进行控制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青海省劳动保护条例、青海省突发公共事件总体应急预案、青海省安全生产事故灾难应急预案、生产安全事故应急预案管理办法等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氯化钾项目和碳酸锂项目安全评估报告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职业健康安全运行知识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172720</wp:posOffset>
                  </wp:positionV>
                  <wp:extent cx="698500" cy="266700"/>
                  <wp:effectExtent l="0" t="0" r="0" b="0"/>
                  <wp:wrapSquare wrapText="bothSides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180340</wp:posOffset>
                  </wp:positionV>
                  <wp:extent cx="641350" cy="304800"/>
                  <wp:effectExtent l="0" t="0" r="6350" b="0"/>
                  <wp:wrapSquare wrapText="bothSides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5"/>
                <w:u w:val="single"/>
              </w:rPr>
              <w:t>五矿盐湖有限公司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EnMS：2.3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李丽英、周涛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EnMS：2.3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氯化钾生产流程：光卤石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→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高效分解结晶析出→氯化钾料浆浮选→粗氯化钾洗涤过滤→湿氯化钾干燥包装→成品氯化钾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碳酸锂生产流程：</w:t>
            </w:r>
            <w:r>
              <w:rPr>
                <w:rFonts w:hint="eastAsia"/>
                <w:lang w:val="en-US" w:eastAsia="zh-CN"/>
              </w:rPr>
              <w:t>缓冲池（析钾老卤）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镁锂分离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板式换热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深度除镁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固液分离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精滤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调酸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板式换热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/>
                <w:lang w:val="en-US" w:eastAsia="zh-CN"/>
              </w:rPr>
              <w:t>沉锂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压滤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浆化洗涤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离心分离及淋洗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干燥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气流粉碎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检验</w:t>
            </w:r>
            <w:r>
              <w:rPr>
                <w:rFonts w:hint="default" w:ascii="Arial" w:hAnsi="Arial" w:cs="Arial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lang w:val="en-US" w:eastAsia="zh-CN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主要能源使用：电力、天然气、水；</w:t>
            </w:r>
          </w:p>
          <w:p>
            <w:pPr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主要能源参数：综合能耗tce、单位产品能耗kgce/t、单位产值能耗kgce/万元；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spacing w:before="181"/>
              <w:rPr>
                <w:b/>
                <w:sz w:val="20"/>
              </w:rPr>
            </w:pPr>
            <w:r>
              <w:rPr>
                <w:rFonts w:ascii="Times New Roman" w:eastAsia="Times New Roman"/>
              </w:rPr>
              <w:t>1</w:t>
            </w:r>
            <w:r>
              <w:t>、《中华人民共和国电力法》</w:t>
            </w:r>
            <w:r>
              <w:rPr>
                <w:rFonts w:ascii="Times New Roman" w:eastAsia="Times New Roman"/>
                <w:spacing w:val="-1"/>
              </w:rPr>
              <w:t>2</w:t>
            </w:r>
            <w:r>
              <w:rPr>
                <w:spacing w:val="-3"/>
              </w:rPr>
              <w:t>、《中华人民共和国节约能源法》</w:t>
            </w:r>
            <w:r>
              <w:rPr>
                <w:rFonts w:ascii="Times New Roman" w:eastAsia="Times New Roman"/>
                <w:spacing w:val="-1"/>
              </w:rPr>
              <w:t>3</w:t>
            </w:r>
            <w:r>
              <w:rPr>
                <w:spacing w:val="-3"/>
              </w:rPr>
              <w:t>、《中华人民共和国清洁生产法》</w:t>
            </w:r>
            <w:r>
              <w:rPr>
                <w:rFonts w:ascii="Times New Roman" w:eastAsia="Times New Roman"/>
              </w:rPr>
              <w:t>4</w:t>
            </w:r>
            <w:r>
              <w:t>、《中华人民共和国可再生能源法》</w:t>
            </w:r>
            <w:r>
              <w:rPr>
                <w:rFonts w:ascii="Times New Roman" w:eastAsia="Times New Roman"/>
              </w:rPr>
              <w:t>5</w:t>
            </w:r>
            <w:r>
              <w:t>、《国家重点节能技术推广目录（</w:t>
            </w:r>
            <w:r>
              <w:rPr>
                <w:rFonts w:ascii="Times New Roman" w:eastAsia="Times New Roman"/>
              </w:rPr>
              <w:t xml:space="preserve">1-6 </w:t>
            </w:r>
            <w:r>
              <w:t>批）》</w:t>
            </w:r>
            <w:r>
              <w:rPr>
                <w:rFonts w:hint="eastAsia" w:ascii="Times New Roman"/>
                <w:lang w:val="en-US" w:eastAsia="zh-CN"/>
              </w:rPr>
              <w:t>6</w:t>
            </w:r>
            <w:r>
              <w:t>、《企业节能量计算方法</w:t>
            </w:r>
            <w:r>
              <w:fldChar w:fldCharType="begin"/>
            </w:r>
            <w:r>
              <w:instrText xml:space="preserve"> HYPERLINK "http://www.csres.com/detail/204647.html" \h </w:instrText>
            </w:r>
            <w:r>
              <w:fldChar w:fldCharType="separate"/>
            </w:r>
            <w:r>
              <w:rPr>
                <w:rFonts w:ascii="Times New Roman" w:eastAsia="Times New Roman"/>
              </w:rPr>
              <w:t>GB/T 13234-20</w:t>
            </w:r>
            <w:r>
              <w:rPr>
                <w:rFonts w:hint="eastAsia" w:ascii="Times New Roman"/>
                <w:lang w:val="en-US" w:eastAsia="zh-CN"/>
              </w:rPr>
              <w:t>1</w:t>
            </w:r>
            <w:r>
              <w:rPr>
                <w:rFonts w:ascii="Times New Roman" w:eastAsia="Times New Roman"/>
              </w:rPr>
              <w:fldChar w:fldCharType="end"/>
            </w:r>
            <w:r>
              <w:rPr>
                <w:rFonts w:hint="eastAsia" w:ascii="Times New Roman"/>
                <w:lang w:val="en-US" w:eastAsia="zh-CN"/>
              </w:rPr>
              <w:t>8</w:t>
            </w:r>
            <w:r>
              <w:t>》</w:t>
            </w:r>
            <w:r>
              <w:rPr>
                <w:rFonts w:hint="eastAsia" w:ascii="Times New Roman"/>
                <w:lang w:val="en-US" w:eastAsia="zh-CN"/>
              </w:rPr>
              <w:t>7</w:t>
            </w:r>
            <w:r>
              <w:t>、《企业能量平衡统计方法</w:t>
            </w:r>
            <w:r>
              <w:fldChar w:fldCharType="begin"/>
            </w:r>
            <w:r>
              <w:instrText xml:space="preserve"> HYPERLINK "http://www.csres.com/detail/56381.html" \h </w:instrText>
            </w:r>
            <w:r>
              <w:fldChar w:fldCharType="separate"/>
            </w:r>
            <w:r>
              <w:rPr>
                <w:rFonts w:ascii="Times New Roman" w:eastAsia="Times New Roman"/>
              </w:rPr>
              <w:t>GB/T 16614-1996</w:t>
            </w:r>
            <w:r>
              <w:rPr>
                <w:rFonts w:ascii="Times New Roman" w:eastAsia="Times New Roman"/>
              </w:rPr>
              <w:fldChar w:fldCharType="end"/>
            </w:r>
            <w:r>
              <w:t>》</w:t>
            </w:r>
            <w:r>
              <w:rPr>
                <w:rFonts w:hint="eastAsia" w:ascii="Times New Roman"/>
                <w:lang w:val="en-US" w:eastAsia="zh-CN"/>
              </w:rPr>
              <w:t>8</w:t>
            </w:r>
            <w:r>
              <w:t xml:space="preserve">、《企业能量平衡表编制方法 </w:t>
            </w:r>
            <w:r>
              <w:fldChar w:fldCharType="begin"/>
            </w:r>
            <w:r>
              <w:instrText xml:space="preserve"> HYPERLINK "http://www.csres.com/detail/227580.html" \h </w:instrText>
            </w:r>
            <w:r>
              <w:fldChar w:fldCharType="separate"/>
            </w:r>
            <w:r>
              <w:rPr>
                <w:rFonts w:ascii="Times New Roman" w:eastAsia="Times New Roman"/>
              </w:rPr>
              <w:t>GB/T 28751-2012</w:t>
            </w:r>
            <w:r>
              <w:rPr>
                <w:rFonts w:ascii="Times New Roman" w:eastAsia="Times New Roman"/>
              </w:rPr>
              <w:fldChar w:fldCharType="end"/>
            </w:r>
            <w:r>
              <w:t>》</w:t>
            </w:r>
            <w:r>
              <w:rPr>
                <w:rFonts w:hint="eastAsia" w:ascii="Times New Roman"/>
                <w:lang w:val="en-US" w:eastAsia="zh-CN"/>
              </w:rPr>
              <w:t>9</w:t>
            </w:r>
            <w:r>
              <w:t>、企业能源平衡通则（</w:t>
            </w:r>
            <w:r>
              <w:rPr>
                <w:rFonts w:ascii="Times New Roman" w:eastAsia="Times New Roman"/>
              </w:rPr>
              <w:t>GB3484-2009</w:t>
            </w:r>
            <w:r>
              <w:t>）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hint="eastAsia" w:ascii="Times New Roman"/>
                <w:lang w:val="en-US" w:eastAsia="zh-CN"/>
              </w:rPr>
              <w:t>0</w:t>
            </w:r>
            <w:r>
              <w:t>、节能监测技术通则（</w:t>
            </w:r>
            <w:r>
              <w:rPr>
                <w:rFonts w:ascii="Times New Roman" w:eastAsia="Times New Roman"/>
              </w:rPr>
              <w:t>GB/T15316-2009</w:t>
            </w:r>
            <w:r>
              <w:t>）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hint="eastAsia" w:ascii="Times New Roman"/>
                <w:lang w:val="en-US" w:eastAsia="zh-CN"/>
              </w:rPr>
              <w:t>1</w:t>
            </w:r>
            <w:r>
              <w:t>、电力变压器经济运行（</w:t>
            </w:r>
            <w:r>
              <w:rPr>
                <w:rFonts w:ascii="Times New Roman" w:eastAsia="Times New Roman"/>
              </w:rPr>
              <w:t>GB13462-2008</w:t>
            </w:r>
            <w:r>
              <w:t>）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hint="eastAsia" w:ascii="Times New Roman"/>
                <w:lang w:val="en-US" w:eastAsia="zh-CN"/>
              </w:rPr>
              <w:t>2</w:t>
            </w:r>
            <w:r>
              <w:t>、用能单位能源计量器具配备与管理通则（</w:t>
            </w:r>
            <w:r>
              <w:rPr>
                <w:rFonts w:ascii="Times New Roman" w:eastAsia="Times New Roman"/>
              </w:rPr>
              <w:t>GB/T17167-2006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能源管理运行相关知识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152400</wp:posOffset>
                  </wp:positionV>
                  <wp:extent cx="641350" cy="304800"/>
                  <wp:effectExtent l="0" t="0" r="6350" b="0"/>
                  <wp:wrapSquare wrapText="bothSides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142875</wp:posOffset>
                  </wp:positionV>
                  <wp:extent cx="641350" cy="304800"/>
                  <wp:effectExtent l="0" t="0" r="6350" b="0"/>
                  <wp:wrapSquare wrapText="bothSides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A5864B7"/>
    <w:rsid w:val="3E113FF0"/>
    <w:rsid w:val="3EF81A40"/>
    <w:rsid w:val="5ECE5FAA"/>
    <w:rsid w:val="77A57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824</Words>
  <Characters>895</Characters>
  <Lines>2</Lines>
  <Paragraphs>1</Paragraphs>
  <TotalTime>1</TotalTime>
  <ScaleCrop>false</ScaleCrop>
  <LinksUpToDate>false</LinksUpToDate>
  <CharactersWithSpaces>898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2022-06-04T10:49:42Z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