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大厂回族自治县强盛肉类有限公司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39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