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51695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0914-2022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大连钰霖电机有限公司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2025年06月23日上午至2025年06月24日上午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姜丽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13194223371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47394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2025-06-17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866716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