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8296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浙江正境环保科技有限公司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0328-2022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25185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0328-2022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浙江正境环保科技有限公司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钱炜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杨子林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2025年06月03日上午至2025年06月04日下午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2025年06月03日上午至2025年06月04日下午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1081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