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04"/>
        <w:gridCol w:w="505"/>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bookmarkStart w:id="0" w:name="OLE_LINK5" w:colFirst="1" w:colLast="1"/>
            <w:r>
              <w:rPr>
                <w:rFonts w:hint="eastAsia"/>
                <w:sz w:val="21"/>
                <w:szCs w:val="21"/>
              </w:rPr>
              <w:t>受审核方名称</w:t>
            </w:r>
          </w:p>
        </w:tc>
        <w:tc>
          <w:tcPr>
            <w:tcW w:w="5108" w:type="dxa"/>
            <w:gridSpan w:val="9"/>
            <w:vAlign w:val="center"/>
          </w:tcPr>
          <w:p>
            <w:pPr>
              <w:rPr>
                <w:sz w:val="21"/>
                <w:szCs w:val="21"/>
              </w:rPr>
            </w:pPr>
            <w:bookmarkStart w:id="1" w:name="组织名称"/>
            <w:r>
              <w:rPr>
                <w:sz w:val="21"/>
                <w:szCs w:val="21"/>
              </w:rPr>
              <w:t>智恒动能（无锡）科技有限公司</w:t>
            </w:r>
            <w:bookmarkEnd w:id="1"/>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2" w:name="合同编号"/>
            <w:r>
              <w:rPr>
                <w:sz w:val="21"/>
                <w:szCs w:val="21"/>
              </w:rPr>
              <w:t>20604-2025-QEO</w:t>
            </w:r>
            <w:bookmarkEnd w:id="2"/>
          </w:p>
        </w:tc>
      </w:tr>
      <w:bookmarkEnd w:id="0"/>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3" w:name="注册地址"/>
            <w:r>
              <w:rPr>
                <w:sz w:val="21"/>
                <w:szCs w:val="21"/>
              </w:rPr>
              <w:t>无锡惠山经济开发区前洲配套区兴洲路17号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4" w:name="OLE_LINK4"/>
            <w:r>
              <w:rPr>
                <w:rFonts w:hint="eastAsia"/>
                <w:sz w:val="21"/>
                <w:szCs w:val="21"/>
              </w:rPr>
              <w:t>无锡惠山经济开发区慧谷创业园B区行知路39号-47-1栋</w:t>
            </w:r>
            <w:bookmarkEnd w:id="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5" w:name="联系人"/>
            <w:r>
              <w:rPr>
                <w:sz w:val="21"/>
                <w:szCs w:val="21"/>
              </w:rPr>
              <w:t>盛亚萍</w:t>
            </w:r>
            <w:bookmarkEnd w:id="5"/>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6" w:name="联系人手机"/>
            <w:r>
              <w:rPr>
                <w:rFonts w:hint="eastAsia"/>
                <w:sz w:val="21"/>
                <w:szCs w:val="21"/>
              </w:rPr>
              <w:t>13771758334</w:t>
            </w:r>
            <w:bookmarkEnd w:id="6"/>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7" w:name="联系人电话"/>
            <w:r>
              <w:rPr>
                <w:sz w:val="21"/>
                <w:szCs w:val="21"/>
              </w:rPr>
              <w:t>13771758334</w:t>
            </w:r>
            <w:bookmarkEnd w:id="7"/>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8" w:name="体系人数"/>
            <w:r>
              <w:rPr>
                <w:sz w:val="21"/>
                <w:szCs w:val="21"/>
              </w:rPr>
              <w:t>Q:4,E:4,O:4</w:t>
            </w:r>
            <w:bookmarkEnd w:id="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9" w:name="一阶段审核日期起始"/>
            <w:r>
              <w:rPr>
                <w:sz w:val="21"/>
                <w:szCs w:val="21"/>
              </w:rPr>
              <w:t>2025-05-08 8:30:00上午至2025-05-08 12:30:00</w:t>
            </w:r>
            <w:r>
              <w:rPr>
                <w:rFonts w:hint="eastAsia"/>
                <w:sz w:val="21"/>
                <w:szCs w:val="21"/>
                <w:lang w:val="en-US" w:eastAsia="zh-CN"/>
              </w:rPr>
              <w:t>上</w:t>
            </w:r>
            <w:r>
              <w:rPr>
                <w:sz w:val="21"/>
                <w:szCs w:val="21"/>
              </w:rPr>
              <w:t>午</w:t>
            </w:r>
            <w:bookmarkEnd w:id="9"/>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10" w:name="一阶段审核人日"/>
            <w:bookmarkEnd w:id="10"/>
            <w:r>
              <w:rPr>
                <w:rFonts w:hint="eastAsia"/>
                <w:sz w:val="21"/>
                <w:szCs w:val="21"/>
                <w:lang w:val="en-US" w:eastAsia="zh-CN"/>
              </w:rPr>
              <w:t xml:space="preserve">     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11" w:name="是否临时多场所"/>
            <w:r>
              <w:rPr>
                <w:rFonts w:hint="eastAsia" w:ascii="宋体"/>
                <w:sz w:val="21"/>
                <w:szCs w:val="21"/>
              </w:rPr>
              <w:t>□是  ■否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bookmarkStart w:id="23" w:name="OLE_LINK6" w:colFirst="1" w:colLast="1"/>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Q：通风设备、空气净化过滤设备及配件(过滤板)、制冷设备及风管的设计和销售</w:t>
            </w:r>
          </w:p>
          <w:p>
            <w:pPr>
              <w:tabs>
                <w:tab w:val="left" w:pos="0"/>
              </w:tabs>
              <w:jc w:val="left"/>
              <w:rPr>
                <w:sz w:val="21"/>
                <w:szCs w:val="21"/>
              </w:rPr>
            </w:pPr>
            <w:r>
              <w:rPr>
                <w:sz w:val="21"/>
                <w:szCs w:val="21"/>
              </w:rPr>
              <w:t>E：通风设备、空气净化过滤设备及配件(过滤板)、制冷设备及风管的设计和销售所涉及场所的相关环境管理活动</w:t>
            </w:r>
          </w:p>
          <w:p>
            <w:pPr>
              <w:tabs>
                <w:tab w:val="left" w:pos="0"/>
              </w:tabs>
              <w:jc w:val="left"/>
              <w:rPr>
                <w:sz w:val="21"/>
                <w:szCs w:val="21"/>
              </w:rPr>
            </w:pPr>
            <w:r>
              <w:rPr>
                <w:sz w:val="21"/>
                <w:szCs w:val="21"/>
              </w:rPr>
              <w:t>O：通风设备、空气净化过滤设备及配件(过滤板)、制冷设备及风管的设计和销售所涉及场所的相关职业健康安全管理活动</w:t>
            </w:r>
            <w:bookmarkEnd w:id="24"/>
          </w:p>
        </w:tc>
      </w:tr>
      <w:bookmarkEnd w:id="23"/>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Q：18.02.05;18.02.06;29.10.07</w:t>
            </w:r>
          </w:p>
          <w:p>
            <w:pPr>
              <w:tabs>
                <w:tab w:val="left" w:pos="0"/>
              </w:tabs>
              <w:rPr>
                <w:sz w:val="21"/>
                <w:szCs w:val="21"/>
              </w:rPr>
            </w:pPr>
            <w:r>
              <w:rPr>
                <w:sz w:val="21"/>
                <w:szCs w:val="21"/>
              </w:rPr>
              <w:t>E：18.02.05;18.02.06;29.10.07</w:t>
            </w:r>
          </w:p>
          <w:p>
            <w:pPr>
              <w:tabs>
                <w:tab w:val="left" w:pos="0"/>
              </w:tabs>
              <w:rPr>
                <w:sz w:val="21"/>
                <w:szCs w:val="21"/>
              </w:rPr>
            </w:pPr>
            <w:r>
              <w:rPr>
                <w:sz w:val="21"/>
                <w:szCs w:val="21"/>
              </w:rPr>
              <w:t>O：18.02.05;18.02.06;29.10.07</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16"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767"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杜万成</w:t>
            </w:r>
          </w:p>
        </w:tc>
        <w:tc>
          <w:tcPr>
            <w:tcW w:w="850" w:type="dxa"/>
            <w:vAlign w:val="center"/>
          </w:tcPr>
          <w:p>
            <w:pPr>
              <w:jc w:val="center"/>
              <w:rPr>
                <w:sz w:val="21"/>
                <w:szCs w:val="21"/>
              </w:rPr>
            </w:pPr>
            <w:r>
              <w:rPr>
                <w:sz w:val="21"/>
                <w:szCs w:val="21"/>
              </w:rPr>
              <w:t>男</w:t>
            </w:r>
          </w:p>
        </w:tc>
        <w:tc>
          <w:tcPr>
            <w:tcW w:w="2616" w:type="dxa"/>
            <w:gridSpan w:val="4"/>
            <w:vAlign w:val="center"/>
          </w:tcPr>
          <w:p>
            <w:pPr>
              <w:ind w:left="117"/>
              <w:jc w:val="center"/>
              <w:rPr>
                <w:sz w:val="21"/>
                <w:szCs w:val="21"/>
              </w:rPr>
            </w:pPr>
            <w:r>
              <w:rPr>
                <w:sz w:val="21"/>
                <w:szCs w:val="21"/>
              </w:rPr>
              <w:t>2024-N1QMS-1412435</w:t>
            </w:r>
          </w:p>
          <w:p>
            <w:pPr>
              <w:ind w:left="117"/>
              <w:jc w:val="center"/>
              <w:rPr>
                <w:sz w:val="21"/>
                <w:szCs w:val="21"/>
              </w:rPr>
            </w:pPr>
            <w:r>
              <w:rPr>
                <w:sz w:val="21"/>
                <w:szCs w:val="21"/>
              </w:rPr>
              <w:t>2024-N1EMS-1412435</w:t>
            </w:r>
          </w:p>
          <w:p>
            <w:pPr>
              <w:ind w:left="117"/>
              <w:jc w:val="center"/>
              <w:rPr>
                <w:sz w:val="21"/>
                <w:szCs w:val="21"/>
              </w:rPr>
            </w:pPr>
            <w:r>
              <w:rPr>
                <w:sz w:val="21"/>
                <w:szCs w:val="21"/>
              </w:rPr>
              <w:t>2024-N1OHSMS-1412435</w:t>
            </w:r>
          </w:p>
        </w:tc>
        <w:tc>
          <w:tcPr>
            <w:tcW w:w="3767" w:type="dxa"/>
            <w:gridSpan w:val="9"/>
            <w:vAlign w:val="center"/>
          </w:tcPr>
          <w:p>
            <w:pPr>
              <w:jc w:val="center"/>
              <w:rPr>
                <w:sz w:val="21"/>
                <w:szCs w:val="21"/>
              </w:rPr>
            </w:pPr>
            <w:r>
              <w:rPr>
                <w:sz w:val="21"/>
                <w:szCs w:val="21"/>
              </w:rPr>
              <w:t>Q:18.02.05,18.02.06,29.10.07</w:t>
            </w:r>
          </w:p>
          <w:p>
            <w:pPr>
              <w:jc w:val="center"/>
              <w:rPr>
                <w:sz w:val="21"/>
                <w:szCs w:val="21"/>
              </w:rPr>
            </w:pPr>
            <w:r>
              <w:rPr>
                <w:sz w:val="21"/>
                <w:szCs w:val="21"/>
              </w:rPr>
              <w:t>E:18.02.05,18.02.06,29.10.07</w:t>
            </w:r>
          </w:p>
          <w:p>
            <w:pPr>
              <w:jc w:val="center"/>
              <w:rPr>
                <w:sz w:val="21"/>
                <w:szCs w:val="21"/>
              </w:rPr>
            </w:pPr>
            <w:r>
              <w:rPr>
                <w:sz w:val="21"/>
                <w:szCs w:val="21"/>
              </w:rPr>
              <w:t>O:18.02.05,18.02.06,29.10.07</w:t>
            </w:r>
          </w:p>
        </w:tc>
        <w:tc>
          <w:tcPr>
            <w:tcW w:w="1560" w:type="dxa"/>
            <w:gridSpan w:val="2"/>
            <w:vAlign w:val="center"/>
          </w:tcPr>
          <w:p>
            <w:pPr>
              <w:jc w:val="center"/>
              <w:rPr>
                <w:sz w:val="21"/>
                <w:szCs w:val="21"/>
              </w:rPr>
            </w:pPr>
            <w:r>
              <w:rPr>
                <w:sz w:val="21"/>
                <w:szCs w:val="21"/>
              </w:rPr>
              <w:t>13852465477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626" w:type="dxa"/>
            <w:gridSpan w:val="9"/>
          </w:tcPr>
          <w:p>
            <w:pPr>
              <w:rPr>
                <w:sz w:val="21"/>
                <w:szCs w:val="21"/>
              </w:rPr>
            </w:pPr>
            <w:r>
              <w:rPr>
                <w:rFonts w:hint="eastAsia"/>
                <w:sz w:val="21"/>
                <w:szCs w:val="21"/>
              </w:rPr>
              <w:t>审核部联系人：</w:t>
            </w:r>
          </w:p>
          <w:p>
            <w:pPr>
              <w:widowControl/>
              <w:jc w:val="left"/>
              <w:rPr>
                <w:sz w:val="21"/>
                <w:szCs w:val="21"/>
              </w:rPr>
            </w:pPr>
            <w:bookmarkStart w:id="27" w:name="审核派遣人"/>
            <w:r>
              <w:rPr>
                <w:sz w:val="21"/>
                <w:szCs w:val="21"/>
              </w:rPr>
              <w:t>李永忠</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2025-04-30</w:t>
            </w:r>
            <w:bookmarkEnd w:id="28"/>
          </w:p>
        </w:tc>
        <w:tc>
          <w:tcPr>
            <w:tcW w:w="5327"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2025-5-8</w:t>
            </w:r>
          </w:p>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cs="Times New Roman"/>
                <w:bCs w:val="0"/>
                <w:spacing w:val="0"/>
                <w:kern w:val="2"/>
                <w:sz w:val="21"/>
                <w:szCs w:val="21"/>
                <w:lang w:val="en-US" w:eastAsia="zh-CN" w:bidi="ar-SA"/>
              </w:rPr>
              <w:t>8</w:t>
            </w:r>
            <w:r>
              <w:rPr>
                <w:rFonts w:hint="eastAsia" w:ascii="Times New Roman" w:hAnsi="Times New Roman" w:eastAsia="宋体" w:cs="Times New Roman"/>
                <w:bCs w:val="0"/>
                <w:spacing w:val="0"/>
                <w:kern w:val="2"/>
                <w:sz w:val="21"/>
                <w:szCs w:val="21"/>
                <w:lang w:val="en-US" w:eastAsia="zh-CN" w:bidi="ar-SA"/>
              </w:rPr>
              <w:t>:</w:t>
            </w:r>
            <w:r>
              <w:rPr>
                <w:rFonts w:hint="eastAsia" w:ascii="Times New Roman" w:hAnsi="Times New Roman"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0-9:</w:t>
            </w:r>
            <w:r>
              <w:rPr>
                <w:rFonts w:hint="eastAsia" w:ascii="Times New Roman" w:hAnsi="Times New Roman" w:cs="Times New Roman"/>
                <w:bCs w:val="0"/>
                <w:spacing w:val="0"/>
                <w:kern w:val="2"/>
                <w:sz w:val="21"/>
                <w:szCs w:val="21"/>
                <w:lang w:val="en-US" w:eastAsia="zh-CN" w:bidi="ar-SA"/>
              </w:rPr>
              <w:t>0</w:t>
            </w:r>
            <w:r>
              <w:rPr>
                <w:rFonts w:hint="eastAsia" w:ascii="Times New Roman" w:hAnsi="Times New Roman" w:eastAsia="宋体" w:cs="Times New Roman"/>
                <w:bCs w:val="0"/>
                <w:spacing w:val="0"/>
                <w:kern w:val="2"/>
                <w:sz w:val="21"/>
                <w:szCs w:val="21"/>
                <w:lang w:val="en-US" w:eastAsia="zh-CN" w:bidi="ar-SA"/>
              </w:rPr>
              <w:t>0</w:t>
            </w:r>
          </w:p>
        </w:tc>
        <w:tc>
          <w:tcPr>
            <w:tcW w:w="1275" w:type="dxa"/>
            <w:vAlign w:val="center"/>
          </w:tcPr>
          <w:p>
            <w:pPr>
              <w:tabs>
                <w:tab w:val="left" w:pos="0"/>
              </w:tabs>
              <w:jc w:val="left"/>
              <w:rPr>
                <w:rFonts w:hint="default"/>
                <w:sz w:val="21"/>
                <w:szCs w:val="21"/>
                <w:lang w:val="en-US" w:eastAsia="zh-CN"/>
              </w:rPr>
            </w:pPr>
            <w:r>
              <w:rPr>
                <w:rFonts w:hint="eastAsia"/>
                <w:sz w:val="21"/>
                <w:szCs w:val="21"/>
                <w:lang w:val="en-US" w:eastAsia="zh-CN"/>
              </w:rPr>
              <w:t>A</w:t>
            </w:r>
          </w:p>
        </w:tc>
        <w:tc>
          <w:tcPr>
            <w:tcW w:w="1276" w:type="dxa"/>
            <w:vAlign w:val="center"/>
          </w:tcPr>
          <w:p>
            <w:pPr>
              <w:tabs>
                <w:tab w:val="left" w:pos="0"/>
              </w:tabs>
              <w:jc w:val="left"/>
              <w:rPr>
                <w:rFonts w:hint="eastAsia"/>
                <w:sz w:val="21"/>
                <w:szCs w:val="21"/>
                <w:lang w:val="en-US" w:eastAsia="zh-CN"/>
              </w:rPr>
            </w:pPr>
            <w:r>
              <w:rPr>
                <w:rFonts w:hint="eastAsia"/>
                <w:sz w:val="21"/>
                <w:szCs w:val="21"/>
                <w:lang w:val="en-US" w:eastAsia="zh-CN"/>
              </w:rPr>
              <w:t>各部门</w:t>
            </w:r>
          </w:p>
          <w:p>
            <w:pPr>
              <w:tabs>
                <w:tab w:val="left" w:pos="0"/>
              </w:tabs>
              <w:jc w:val="left"/>
              <w:rPr>
                <w:rFonts w:hint="default"/>
                <w:sz w:val="21"/>
                <w:szCs w:val="21"/>
                <w:lang w:val="en-US" w:eastAsia="zh-CN"/>
              </w:rPr>
            </w:pPr>
            <w:r>
              <w:rPr>
                <w:rFonts w:hint="eastAsia"/>
                <w:sz w:val="21"/>
                <w:szCs w:val="21"/>
                <w:lang w:val="en-US" w:eastAsia="zh-CN"/>
              </w:rPr>
              <w:t>主管人员</w:t>
            </w:r>
          </w:p>
        </w:tc>
        <w:tc>
          <w:tcPr>
            <w:tcW w:w="6685" w:type="dxa"/>
            <w:gridSpan w:val="3"/>
            <w:vAlign w:val="center"/>
          </w:tcPr>
          <w:p>
            <w:pPr>
              <w:tabs>
                <w:tab w:val="left" w:pos="0"/>
              </w:tabs>
              <w:jc w:val="left"/>
              <w:rPr>
                <w:rFonts w:hint="default"/>
                <w:sz w:val="21"/>
                <w:szCs w:val="21"/>
                <w:lang w:val="en-US" w:eastAsia="zh-CN"/>
              </w:rPr>
            </w:pPr>
            <w:r>
              <w:rPr>
                <w:rFonts w:hint="eastAsia"/>
                <w:sz w:val="21"/>
                <w:szCs w:val="21"/>
                <w:lang w:val="en-US" w:eastAsia="zh-CN"/>
              </w:rPr>
              <w:t>首次会议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Times New Roman" w:hAnsi="Times New Roman" w:eastAsia="宋体" w:cs="Times New Roman"/>
                <w:bCs w:val="0"/>
                <w:spacing w:val="0"/>
                <w:kern w:val="2"/>
                <w:sz w:val="21"/>
                <w:szCs w:val="21"/>
                <w:lang w:val="en-US" w:eastAsia="zh-CN" w:bidi="ar-SA"/>
              </w:rPr>
            </w:pPr>
            <w:bookmarkStart w:id="29" w:name="OLE_LINK2"/>
            <w:r>
              <w:rPr>
                <w:rFonts w:hint="eastAsia" w:ascii="Times New Roman" w:hAnsi="Times New Roman" w:eastAsia="宋体" w:cs="Times New Roman"/>
                <w:bCs w:val="0"/>
                <w:spacing w:val="0"/>
                <w:kern w:val="2"/>
                <w:sz w:val="21"/>
                <w:szCs w:val="21"/>
                <w:lang w:val="en-US" w:eastAsia="zh-CN" w:bidi="ar-SA"/>
              </w:rPr>
              <w:t>2025-5-8</w:t>
            </w:r>
          </w:p>
          <w:bookmarkEnd w:id="29"/>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cs="Times New Roman"/>
                <w:bCs w:val="0"/>
                <w:spacing w:val="0"/>
                <w:kern w:val="2"/>
                <w:sz w:val="21"/>
                <w:szCs w:val="21"/>
                <w:lang w:val="en-US" w:eastAsia="zh-CN" w:bidi="ar-SA"/>
              </w:rPr>
              <w:t>9</w:t>
            </w:r>
            <w:r>
              <w:rPr>
                <w:rFonts w:hint="eastAsia" w:ascii="Times New Roman" w:hAnsi="Times New Roman" w:eastAsia="宋体" w:cs="Times New Roman"/>
                <w:bCs w:val="0"/>
                <w:spacing w:val="0"/>
                <w:kern w:val="2"/>
                <w:sz w:val="21"/>
                <w:szCs w:val="21"/>
                <w:lang w:val="en-US" w:eastAsia="zh-CN" w:bidi="ar-SA"/>
              </w:rPr>
              <w:t>:</w:t>
            </w:r>
            <w:r>
              <w:rPr>
                <w:rFonts w:hint="eastAsia" w:ascii="Times New Roman" w:hAnsi="Times New Roman" w:cs="Times New Roman"/>
                <w:bCs w:val="0"/>
                <w:spacing w:val="0"/>
                <w:kern w:val="2"/>
                <w:sz w:val="21"/>
                <w:szCs w:val="21"/>
                <w:lang w:val="en-US" w:eastAsia="zh-CN" w:bidi="ar-SA"/>
              </w:rPr>
              <w:t>0</w:t>
            </w:r>
            <w:r>
              <w:rPr>
                <w:rFonts w:hint="eastAsia" w:ascii="Times New Roman" w:hAnsi="Times New Roman" w:eastAsia="宋体" w:cs="Times New Roman"/>
                <w:bCs w:val="0"/>
                <w:spacing w:val="0"/>
                <w:kern w:val="2"/>
                <w:sz w:val="21"/>
                <w:szCs w:val="21"/>
                <w:lang w:val="en-US" w:eastAsia="zh-CN" w:bidi="ar-SA"/>
              </w:rPr>
              <w:t>0-10:</w:t>
            </w:r>
            <w:r>
              <w:rPr>
                <w:rFonts w:hint="eastAsia" w:ascii="Times New Roman" w:hAnsi="Times New Roman"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0</w:t>
            </w:r>
          </w:p>
        </w:tc>
        <w:tc>
          <w:tcPr>
            <w:tcW w:w="1275" w:type="dxa"/>
            <w:vAlign w:val="center"/>
          </w:tcPr>
          <w:p>
            <w:pPr>
              <w:pStyle w:val="2"/>
              <w:rPr>
                <w:rFonts w:hint="default" w:ascii="宋体" w:hAnsi="宋体" w:eastAsia="宋体" w:cs="宋体"/>
                <w:bCs w:val="0"/>
                <w:spacing w:val="0"/>
                <w:kern w:val="2"/>
                <w:sz w:val="18"/>
                <w:szCs w:val="18"/>
                <w:lang w:val="en-US" w:eastAsia="zh-CN" w:bidi="ar-SA"/>
              </w:rPr>
            </w:pPr>
            <w:r>
              <w:rPr>
                <w:rFonts w:hint="eastAsia"/>
                <w:sz w:val="21"/>
                <w:szCs w:val="21"/>
                <w:lang w:val="en-US" w:eastAsia="zh-CN"/>
              </w:rPr>
              <w:t>A</w:t>
            </w:r>
          </w:p>
        </w:tc>
        <w:tc>
          <w:tcPr>
            <w:tcW w:w="1276" w:type="dxa"/>
            <w:vAlign w:val="center"/>
          </w:tcPr>
          <w:p>
            <w:pPr>
              <w:tabs>
                <w:tab w:val="left" w:pos="0"/>
              </w:tabs>
              <w:jc w:val="left"/>
              <w:rPr>
                <w:rFonts w:hint="default"/>
                <w:lang w:val="en-US" w:eastAsia="zh-CN"/>
              </w:rPr>
            </w:pPr>
            <w:r>
              <w:rPr>
                <w:rFonts w:hint="eastAsia"/>
                <w:lang w:val="en-US" w:eastAsia="zh-CN"/>
              </w:rPr>
              <w:t>项目部</w:t>
            </w:r>
          </w:p>
          <w:p>
            <w:pPr>
              <w:pStyle w:val="2"/>
              <w:rPr>
                <w:rFonts w:hint="eastAsia"/>
                <w:lang w:val="en-US" w:eastAsia="zh-CN"/>
              </w:rPr>
            </w:pPr>
          </w:p>
        </w:tc>
        <w:tc>
          <w:tcPr>
            <w:tcW w:w="6685" w:type="dxa"/>
            <w:gridSpan w:val="3"/>
            <w:vAlign w:val="center"/>
          </w:tcPr>
          <w:p>
            <w:pPr>
              <w:numPr>
                <w:ilvl w:val="0"/>
                <w:numId w:val="1"/>
              </w:numPr>
              <w:tabs>
                <w:tab w:val="left" w:pos="0"/>
              </w:tabs>
              <w:jc w:val="left"/>
              <w:rPr>
                <w:rFonts w:hint="eastAsia"/>
                <w:sz w:val="21"/>
                <w:szCs w:val="21"/>
                <w:lang w:val="en-US" w:eastAsia="zh-CN"/>
              </w:rPr>
            </w:pPr>
            <w:r>
              <w:rPr>
                <w:rFonts w:hint="eastAsia"/>
                <w:sz w:val="21"/>
                <w:szCs w:val="21"/>
                <w:lang w:val="en-US" w:eastAsia="zh-CN"/>
              </w:rPr>
              <w:t>1、了解产品的生产销售概况，与申请范围的符合性；2、组织机构设置/职责权限规定、管理目标销售的策划情况；3、产品实现过程的策划：设备设施提供，产品验收检验策划情况，过程运行环境、检测设备；4、产品设计开发；5、</w:t>
            </w:r>
            <w:r>
              <w:rPr>
                <w:rFonts w:hint="default"/>
                <w:sz w:val="21"/>
                <w:szCs w:val="21"/>
                <w:lang w:val="en-US" w:eastAsia="zh-CN"/>
              </w:rPr>
              <w:t>环境因素评价</w:t>
            </w:r>
            <w:r>
              <w:rPr>
                <w:rFonts w:hint="eastAsia"/>
                <w:sz w:val="21"/>
                <w:szCs w:val="21"/>
                <w:lang w:val="en-US" w:eastAsia="zh-CN"/>
              </w:rPr>
              <w:t>;危险源辨识评价； 6、</w:t>
            </w:r>
            <w:r>
              <w:rPr>
                <w:rFonts w:hint="default"/>
                <w:sz w:val="21"/>
                <w:szCs w:val="21"/>
                <w:lang w:val="en-US" w:eastAsia="zh-CN"/>
              </w:rPr>
              <w:t>运行策划和控制</w:t>
            </w:r>
            <w:r>
              <w:rPr>
                <w:rFonts w:hint="eastAsia"/>
                <w:sz w:val="21"/>
                <w:szCs w:val="21"/>
                <w:lang w:val="en-US" w:eastAsia="zh-CN"/>
              </w:rPr>
              <w:t>;</w:t>
            </w:r>
            <w:r>
              <w:rPr>
                <w:rFonts w:hint="default"/>
                <w:sz w:val="21"/>
                <w:szCs w:val="21"/>
                <w:lang w:val="en-US" w:eastAsia="zh-CN"/>
              </w:rPr>
              <w:t>应急准备和响应</w:t>
            </w:r>
            <w:r>
              <w:rPr>
                <w:rFonts w:hint="eastAsia"/>
                <w:sz w:val="21"/>
                <w:szCs w:val="21"/>
                <w:lang w:val="en-US" w:eastAsia="zh-CN"/>
              </w:rPr>
              <w:t>；8、产品和服务的要求；9、外部提供的过程、产品和服务的控制10、</w:t>
            </w:r>
            <w:r>
              <w:rPr>
                <w:rFonts w:hint="default"/>
                <w:sz w:val="21"/>
                <w:szCs w:val="21"/>
                <w:lang w:val="en-US" w:eastAsia="zh-CN"/>
              </w:rPr>
              <w:t>确定二阶段需要关注的</w:t>
            </w:r>
            <w:r>
              <w:rPr>
                <w:rFonts w:hint="eastAsia"/>
                <w:sz w:val="21"/>
                <w:szCs w:val="21"/>
                <w:lang w:val="en-US" w:eastAsia="zh-CN"/>
              </w:rPr>
              <w:t>重点</w:t>
            </w:r>
            <w:r>
              <w:rPr>
                <w:rFonts w:hint="default"/>
                <w:sz w:val="21"/>
                <w:szCs w:val="21"/>
                <w:lang w:val="en-US" w:eastAsia="zh-CN"/>
              </w:rPr>
              <w:t>。</w:t>
            </w:r>
          </w:p>
          <w:p>
            <w:pPr>
              <w:tabs>
                <w:tab w:val="left" w:pos="0"/>
              </w:tabs>
              <w:jc w:val="left"/>
              <w:rPr>
                <w:rFonts w:hint="eastAsia"/>
                <w:sz w:val="21"/>
                <w:szCs w:val="21"/>
                <w:lang w:val="en-US" w:eastAsia="zh-CN"/>
              </w:rPr>
            </w:pPr>
            <w:bookmarkStart w:id="30" w:name="OLE_LINK1"/>
            <w:r>
              <w:rPr>
                <w:rFonts w:hint="eastAsia"/>
                <w:sz w:val="21"/>
                <w:szCs w:val="21"/>
                <w:lang w:val="en-US" w:eastAsia="zh-CN"/>
              </w:rPr>
              <w:t>Q:5.3、6.2、7.1.3、7.1.4、7.1.5、8.1、8.2、8.3、8.4、8.5、8.6、8.7</w:t>
            </w:r>
          </w:p>
          <w:p>
            <w:pPr>
              <w:tabs>
                <w:tab w:val="left" w:pos="0"/>
              </w:tabs>
              <w:jc w:val="lef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EO：5.3、6.1.2、6.2、8.1、8.2</w:t>
            </w:r>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Times New Roman" w:hAnsi="Times New Roman" w:eastAsia="宋体" w:cs="Times New Roman"/>
                <w:bCs w:val="0"/>
                <w:spacing w:val="0"/>
                <w:kern w:val="2"/>
                <w:sz w:val="21"/>
                <w:szCs w:val="21"/>
                <w:lang w:val="en-US" w:eastAsia="zh-CN" w:bidi="ar-SA"/>
              </w:rPr>
            </w:pPr>
            <w:bookmarkStart w:id="31" w:name="OLE_LINK3"/>
            <w:r>
              <w:rPr>
                <w:rFonts w:hint="eastAsia" w:ascii="Times New Roman" w:hAnsi="Times New Roman" w:eastAsia="宋体" w:cs="Times New Roman"/>
                <w:bCs w:val="0"/>
                <w:spacing w:val="0"/>
                <w:kern w:val="2"/>
                <w:sz w:val="21"/>
                <w:szCs w:val="21"/>
                <w:lang w:val="en-US" w:eastAsia="zh-CN" w:bidi="ar-SA"/>
              </w:rPr>
              <w:t>2025-5-8</w:t>
            </w:r>
          </w:p>
          <w:bookmarkEnd w:id="31"/>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cs="Times New Roman"/>
                <w:bCs w:val="0"/>
                <w:spacing w:val="0"/>
                <w:kern w:val="2"/>
                <w:sz w:val="21"/>
                <w:szCs w:val="21"/>
                <w:lang w:val="en-US" w:eastAsia="zh-CN" w:bidi="ar-SA"/>
              </w:rPr>
              <w:t>10</w:t>
            </w:r>
            <w:r>
              <w:rPr>
                <w:rFonts w:hint="eastAsia" w:ascii="Times New Roman" w:hAnsi="Times New Roman" w:eastAsia="宋体" w:cs="Times New Roman"/>
                <w:bCs w:val="0"/>
                <w:spacing w:val="0"/>
                <w:kern w:val="2"/>
                <w:sz w:val="21"/>
                <w:szCs w:val="21"/>
                <w:lang w:val="en-US" w:eastAsia="zh-CN" w:bidi="ar-SA"/>
              </w:rPr>
              <w:t>:</w:t>
            </w:r>
            <w:r>
              <w:rPr>
                <w:rFonts w:hint="eastAsia" w:ascii="Times New Roman" w:hAnsi="Times New Roman"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0-12:00</w:t>
            </w:r>
          </w:p>
        </w:tc>
        <w:tc>
          <w:tcPr>
            <w:tcW w:w="1275" w:type="dxa"/>
            <w:vAlign w:val="center"/>
          </w:tcPr>
          <w:p>
            <w:pPr>
              <w:rPr>
                <w:rFonts w:hint="default" w:ascii="宋体" w:hAnsi="宋体" w:eastAsia="宋体" w:cs="宋体"/>
                <w:bCs w:val="0"/>
                <w:spacing w:val="0"/>
                <w:kern w:val="2"/>
                <w:sz w:val="18"/>
                <w:szCs w:val="18"/>
                <w:lang w:val="en-US" w:eastAsia="zh-CN" w:bidi="ar-SA"/>
              </w:rPr>
            </w:pPr>
            <w:r>
              <w:rPr>
                <w:rFonts w:hint="eastAsia"/>
                <w:sz w:val="21"/>
                <w:szCs w:val="21"/>
                <w:lang w:val="en-US" w:eastAsia="zh-CN"/>
              </w:rPr>
              <w:t>A</w:t>
            </w:r>
          </w:p>
        </w:tc>
        <w:tc>
          <w:tcPr>
            <w:tcW w:w="1276" w:type="dxa"/>
            <w:vAlign w:val="center"/>
          </w:tcPr>
          <w:p>
            <w:pPr>
              <w:tabs>
                <w:tab w:val="left" w:pos="0"/>
              </w:tabs>
              <w:jc w:val="left"/>
              <w:rPr>
                <w:rFonts w:hint="default"/>
                <w:sz w:val="21"/>
                <w:szCs w:val="21"/>
                <w:lang w:val="en-US" w:eastAsia="zh-CN"/>
              </w:rPr>
            </w:pPr>
            <w:r>
              <w:rPr>
                <w:rFonts w:hint="eastAsia"/>
                <w:sz w:val="21"/>
                <w:szCs w:val="21"/>
                <w:lang w:val="en-US" w:eastAsia="zh-CN"/>
              </w:rPr>
              <w:t>管理层、综合部</w:t>
            </w:r>
          </w:p>
        </w:tc>
        <w:tc>
          <w:tcPr>
            <w:tcW w:w="6685" w:type="dxa"/>
            <w:gridSpan w:val="3"/>
            <w:vAlign w:val="center"/>
          </w:tcPr>
          <w:p>
            <w:pPr>
              <w:numPr>
                <w:ilvl w:val="0"/>
                <w:numId w:val="1"/>
              </w:numPr>
              <w:tabs>
                <w:tab w:val="left" w:pos="0"/>
              </w:tabs>
              <w:jc w:val="left"/>
              <w:rPr>
                <w:rFonts w:hint="default"/>
                <w:sz w:val="21"/>
                <w:szCs w:val="21"/>
                <w:lang w:val="en-US" w:eastAsia="zh-CN"/>
              </w:rPr>
            </w:pPr>
            <w:r>
              <w:rPr>
                <w:rFonts w:hint="default"/>
                <w:sz w:val="21"/>
                <w:szCs w:val="21"/>
                <w:lang w:val="en-US" w:eastAsia="zh-CN"/>
              </w:rPr>
              <w:t>申请评审信息的确认（包括资质、人数、倒班情况、体系运行时间、企业组织机构及职能、服务过程、外包、需确认过程、不适用条款、重要环境因素</w:t>
            </w:r>
            <w:r>
              <w:rPr>
                <w:rFonts w:hint="eastAsia"/>
                <w:sz w:val="21"/>
                <w:szCs w:val="21"/>
                <w:lang w:val="en-US" w:eastAsia="zh-CN"/>
              </w:rPr>
              <w:t>、重要危险源</w:t>
            </w:r>
            <w:r>
              <w:rPr>
                <w:rFonts w:hint="default"/>
                <w:sz w:val="21"/>
                <w:szCs w:val="21"/>
                <w:lang w:val="en-US" w:eastAsia="zh-CN"/>
              </w:rPr>
              <w:t>等）。</w:t>
            </w:r>
            <w:r>
              <w:rPr>
                <w:rFonts w:hint="eastAsia"/>
                <w:sz w:val="21"/>
                <w:szCs w:val="21"/>
                <w:lang w:val="en-US" w:eastAsia="zh-CN"/>
              </w:rPr>
              <w:t>2、确认管理体系认证范围；确认企业资质；3.确认方针建立情况，目标、展开的适宜性4.了解各部门的职责分工及目标展开和完成情况；组织结构、职责和权限规定；资源配置状况；5.管理体系文件化结构及文审问题改进情况确认；6.过程识别和体系策划情况，识别的过程与公司运作的适宜性，制度或过程文件的建立；7.顾客满意度监测、内部审核和管理评审的策划与实施情况，改进方案策划；8. 初步确认适用法规的收集及法规遵循情况；环境、职业健康安全守法情况、相关方投诉；9、了解产品销售服务管理的概况，与申请范围的符合性；10、人员能力，组织机构设置/职责权限规定、管理目标的策划情况；</w:t>
            </w:r>
          </w:p>
          <w:p>
            <w:pPr>
              <w:numPr>
                <w:ilvl w:val="0"/>
                <w:numId w:val="0"/>
              </w:numPr>
              <w:tabs>
                <w:tab w:val="left" w:pos="0"/>
              </w:tabs>
              <w:jc w:val="left"/>
              <w:rPr>
                <w:rFonts w:hint="default"/>
                <w:sz w:val="21"/>
                <w:szCs w:val="21"/>
                <w:lang w:val="en-US" w:eastAsia="zh-CN"/>
              </w:rPr>
            </w:pPr>
            <w:r>
              <w:rPr>
                <w:rFonts w:hint="eastAsia"/>
                <w:sz w:val="21"/>
                <w:szCs w:val="21"/>
                <w:lang w:val="en-US" w:eastAsia="zh-CN"/>
              </w:rPr>
              <w:t>注：如果具备二阶段审核的条件，</w:t>
            </w:r>
            <w:r>
              <w:rPr>
                <w:rFonts w:hint="default"/>
                <w:sz w:val="21"/>
                <w:szCs w:val="21"/>
                <w:lang w:val="en-US" w:eastAsia="zh-CN"/>
              </w:rPr>
              <w:t>确定第二阶段审核时间。与受审核方协商二阶段审核资源配置和细节方面的问题。</w:t>
            </w:r>
          </w:p>
          <w:p>
            <w:pPr>
              <w:tabs>
                <w:tab w:val="left" w:pos="0"/>
              </w:tabs>
              <w:jc w:val="left"/>
              <w:rPr>
                <w:rFonts w:hint="default"/>
                <w:sz w:val="21"/>
                <w:szCs w:val="21"/>
                <w:lang w:val="en-US" w:eastAsia="zh-CN"/>
              </w:rPr>
            </w:pPr>
            <w:r>
              <w:rPr>
                <w:rFonts w:hint="default"/>
                <w:sz w:val="21"/>
                <w:szCs w:val="21"/>
                <w:lang w:val="en-US" w:eastAsia="zh-CN"/>
              </w:rPr>
              <w:t>Q</w:t>
            </w:r>
            <w:r>
              <w:rPr>
                <w:rFonts w:hint="eastAsia"/>
                <w:sz w:val="21"/>
                <w:szCs w:val="21"/>
                <w:lang w:val="en-US" w:eastAsia="zh-CN"/>
              </w:rPr>
              <w:t>：4.1、4.2、4.3、4.4、5.1、5.2、5.3、6.1、6.2、7.1.1、7.2、7.5、9.1.1、9.1.2、9.2、9.3</w:t>
            </w:r>
          </w:p>
          <w:p>
            <w:pPr>
              <w:tabs>
                <w:tab w:val="left" w:pos="0"/>
              </w:tabs>
              <w:jc w:val="left"/>
              <w:rPr>
                <w:rFonts w:hint="default"/>
                <w:sz w:val="21"/>
                <w:szCs w:val="21"/>
                <w:lang w:val="en-US" w:eastAsia="zh-CN"/>
              </w:rPr>
            </w:pPr>
            <w:r>
              <w:rPr>
                <w:rFonts w:hint="default"/>
                <w:sz w:val="21"/>
                <w:szCs w:val="21"/>
                <w:lang w:val="en-US" w:eastAsia="zh-CN"/>
              </w:rPr>
              <w:t>E</w:t>
            </w:r>
            <w:r>
              <w:rPr>
                <w:rFonts w:hint="eastAsia"/>
                <w:sz w:val="21"/>
                <w:szCs w:val="21"/>
                <w:lang w:val="en-US" w:eastAsia="zh-CN"/>
              </w:rPr>
              <w:t>O：4.1、4.2、4.3、4.4、5.1、5.2、5.3、6.1、6.1.2、6.1.3、6.1.4、6.2、7.1、7.2、7.5、9.1.1、9.1.2、9.2、9.3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2025-5-8</w:t>
            </w:r>
          </w:p>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cs="Times New Roman"/>
                <w:bCs w:val="0"/>
                <w:spacing w:val="0"/>
                <w:kern w:val="2"/>
                <w:sz w:val="21"/>
                <w:szCs w:val="21"/>
                <w:lang w:val="en-US" w:eastAsia="zh-CN" w:bidi="ar-SA"/>
              </w:rPr>
              <w:t>12</w:t>
            </w:r>
            <w:r>
              <w:rPr>
                <w:rFonts w:hint="eastAsia" w:ascii="Times New Roman" w:hAnsi="Times New Roman" w:eastAsia="宋体" w:cs="Times New Roman"/>
                <w:bCs w:val="0"/>
                <w:spacing w:val="0"/>
                <w:kern w:val="2"/>
                <w:sz w:val="21"/>
                <w:szCs w:val="21"/>
                <w:lang w:val="en-US" w:eastAsia="zh-CN" w:bidi="ar-SA"/>
              </w:rPr>
              <w:t>:00-12:30</w:t>
            </w:r>
          </w:p>
        </w:tc>
        <w:tc>
          <w:tcPr>
            <w:tcW w:w="1275" w:type="dxa"/>
            <w:vAlign w:val="center"/>
          </w:tcPr>
          <w:p>
            <w:pPr>
              <w:pStyle w:val="2"/>
              <w:rPr>
                <w:rFonts w:hint="default" w:ascii="宋体" w:hAnsi="宋体" w:eastAsia="宋体" w:cs="宋体"/>
                <w:bCs w:val="0"/>
                <w:spacing w:val="0"/>
                <w:kern w:val="2"/>
                <w:sz w:val="18"/>
                <w:szCs w:val="18"/>
                <w:lang w:val="en-US" w:eastAsia="zh-CN" w:bidi="ar-SA"/>
              </w:rPr>
            </w:pPr>
            <w:r>
              <w:rPr>
                <w:rFonts w:hint="eastAsia"/>
                <w:sz w:val="21"/>
                <w:szCs w:val="21"/>
                <w:lang w:val="en-US" w:eastAsia="zh-CN"/>
              </w:rPr>
              <w:t>A</w:t>
            </w:r>
          </w:p>
        </w:tc>
        <w:tc>
          <w:tcPr>
            <w:tcW w:w="1276" w:type="dxa"/>
            <w:vAlign w:val="center"/>
          </w:tcPr>
          <w:p>
            <w:pPr>
              <w:tabs>
                <w:tab w:val="left" w:pos="0"/>
              </w:tabs>
              <w:jc w:val="left"/>
              <w:rPr>
                <w:rFonts w:hint="default" w:ascii="Times New Roman" w:hAnsi="Times New Roman" w:eastAsia="宋体" w:cs="Times New Roman"/>
                <w:kern w:val="2"/>
                <w:sz w:val="21"/>
                <w:szCs w:val="21"/>
                <w:lang w:val="en-US" w:eastAsia="zh-CN" w:bidi="ar-SA"/>
              </w:rPr>
            </w:pPr>
            <w:r>
              <w:rPr>
                <w:rFonts w:hint="default"/>
                <w:sz w:val="21"/>
                <w:szCs w:val="21"/>
                <w:lang w:val="en-US" w:eastAsia="zh-CN"/>
              </w:rPr>
              <w:t>管理人员</w:t>
            </w:r>
          </w:p>
        </w:tc>
        <w:tc>
          <w:tcPr>
            <w:tcW w:w="6685" w:type="dxa"/>
            <w:gridSpan w:val="3"/>
            <w:vAlign w:val="center"/>
          </w:tcPr>
          <w:p>
            <w:pPr>
              <w:tabs>
                <w:tab w:val="left" w:pos="0"/>
              </w:tabs>
              <w:jc w:val="left"/>
              <w:rPr>
                <w:rFonts w:hint="default"/>
                <w:sz w:val="21"/>
                <w:szCs w:val="21"/>
                <w:lang w:val="en-US" w:eastAsia="zh-CN"/>
              </w:rPr>
            </w:pPr>
            <w:r>
              <w:rPr>
                <w:rFonts w:hint="default"/>
                <w:sz w:val="21"/>
                <w:szCs w:val="21"/>
                <w:lang w:val="en-US" w:eastAsia="zh-CN"/>
              </w:rPr>
              <w:t>与管理层沟通</w:t>
            </w:r>
            <w:r>
              <w:rPr>
                <w:rFonts w:hint="eastAsia"/>
                <w:sz w:val="21"/>
                <w:szCs w:val="21"/>
                <w:lang w:val="en-US" w:eastAsia="zh-CN"/>
              </w:rPr>
              <w:t>，</w:t>
            </w:r>
            <w:r>
              <w:rPr>
                <w:rFonts w:hint="default"/>
                <w:sz w:val="21"/>
                <w:szCs w:val="21"/>
                <w:lang w:val="en-US" w:eastAsia="zh-CN"/>
              </w:rPr>
              <w:t>末次会议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hint="eastAsia" w:ascii="宋体" w:hAnsi="宋体" w:eastAsia="宋体" w:cs="宋体"/>
                <w:bCs w:val="0"/>
                <w:spacing w:val="0"/>
                <w:kern w:val="2"/>
                <w:sz w:val="18"/>
                <w:szCs w:val="18"/>
                <w:lang w:val="en-US" w:eastAsia="zh-CN" w:bidi="ar-SA"/>
              </w:rPr>
            </w:pPr>
            <w:r>
              <w:rPr>
                <w:rFonts w:hint="eastAsia" w:ascii="宋体" w:hAnsi="宋体" w:eastAsia="宋体" w:cs="Times New Roman"/>
                <w:b w:val="0"/>
                <w:bCs w:val="0"/>
                <w:sz w:val="21"/>
                <w:szCs w:val="21"/>
                <w:lang w:val="en-US" w:eastAsia="zh-CN"/>
              </w:rPr>
              <w:t>备注：</w:t>
            </w:r>
            <w:r>
              <w:rPr>
                <w:rFonts w:hint="eastAsia" w:ascii="宋体" w:hAnsi="宋体" w:cs="Times New Roman"/>
                <w:b w:val="0"/>
                <w:bCs w:val="0"/>
                <w:sz w:val="21"/>
                <w:szCs w:val="21"/>
                <w:lang w:val="en-US" w:eastAsia="zh-CN"/>
              </w:rPr>
              <w:t>1、</w:t>
            </w:r>
            <w:r>
              <w:rPr>
                <w:rFonts w:hint="eastAsia" w:ascii="宋体" w:hAnsi="宋体" w:eastAsia="宋体" w:cs="Times New Roman"/>
                <w:b w:val="0"/>
                <w:bCs w:val="0"/>
                <w:sz w:val="21"/>
                <w:szCs w:val="21"/>
                <w:lang w:val="en-US" w:eastAsia="zh-CN"/>
              </w:rPr>
              <w:t>如因交通延误等因素导致不能按审核计划执行则审核时间顺延。</w:t>
            </w:r>
            <w:r>
              <w:rPr>
                <w:rFonts w:hint="eastAsia" w:ascii="宋体" w:hAnsi="宋体" w:cs="Times New Roman"/>
                <w:b w:val="0"/>
                <w:bCs w:val="0"/>
                <w:sz w:val="21"/>
                <w:szCs w:val="21"/>
                <w:lang w:val="en-US" w:eastAsia="zh-CN"/>
              </w:rPr>
              <w:t>2、全天审核12:30-13:00为就餐时间。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snapToGrid w:val="0"/>
              <w:spacing w:line="280" w:lineRule="exact"/>
              <w:rPr>
                <w:rFonts w:hint="default"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编制人：</w:t>
            </w:r>
          </w:p>
        </w:tc>
        <w:tc>
          <w:tcPr>
            <w:tcW w:w="3872" w:type="dxa"/>
            <w:gridSpan w:val="3"/>
            <w:vAlign w:val="center"/>
          </w:tcPr>
          <w:p>
            <w:pPr>
              <w:snapToGrid w:val="0"/>
              <w:spacing w:line="280" w:lineRule="exact"/>
              <w:rPr>
                <w:rFonts w:hint="default"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杜万成</w:t>
            </w:r>
          </w:p>
        </w:tc>
        <w:tc>
          <w:tcPr>
            <w:tcW w:w="1548" w:type="dxa"/>
            <w:vAlign w:val="center"/>
          </w:tcPr>
          <w:p>
            <w:pPr>
              <w:snapToGrid w:val="0"/>
              <w:spacing w:line="280" w:lineRule="exact"/>
              <w:rPr>
                <w:rFonts w:hint="default"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编制日期：</w:t>
            </w:r>
          </w:p>
        </w:tc>
        <w:tc>
          <w:tcPr>
            <w:tcW w:w="3816" w:type="dxa"/>
            <w:vAlign w:val="center"/>
          </w:tcPr>
          <w:p>
            <w:pPr>
              <w:snapToGrid w:val="0"/>
              <w:spacing w:line="280" w:lineRule="exact"/>
              <w:rPr>
                <w:rFonts w:hint="default"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2025年5月</w:t>
            </w:r>
            <w:r>
              <w:rPr>
                <w:rFonts w:hint="eastAsia" w:ascii="宋体" w:hAnsi="宋体" w:cs="Times New Roman"/>
                <w:b w:val="0"/>
                <w:bCs w:val="0"/>
                <w:sz w:val="21"/>
                <w:szCs w:val="21"/>
                <w:lang w:val="en-US" w:eastAsia="zh-CN"/>
              </w:rPr>
              <w:t>7</w:t>
            </w:r>
            <w:r>
              <w:rPr>
                <w:rFonts w:hint="eastAsia" w:ascii="宋体" w:hAnsi="宋体" w:eastAsia="宋体" w:cs="Times New Roman"/>
                <w:b w:val="0"/>
                <w:bCs w:val="0"/>
                <w:sz w:val="21"/>
                <w:szCs w:val="21"/>
                <w:lang w:val="en-US" w:eastAsia="zh-CN"/>
              </w:rPr>
              <w:t>日</w:t>
            </w:r>
            <w:bookmarkStart w:id="32" w:name="_GoBack"/>
            <w:bookmarkEnd w:id="3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0"/>
              </w:tabs>
              <w:jc w:val="left"/>
              <w:rPr>
                <w:rFonts w:hint="default"/>
                <w:sz w:val="21"/>
                <w:szCs w:val="21"/>
                <w:lang w:val="en-US" w:eastAsia="zh-CN"/>
              </w:rPr>
            </w:pPr>
            <w:r>
              <w:rPr>
                <w:rFonts w:hint="eastAsia"/>
                <w:sz w:val="21"/>
                <w:szCs w:val="21"/>
                <w:lang w:val="en-US" w:eastAsia="zh-CN"/>
              </w:rPr>
              <w:t xml:space="preserve">1、对所有场所/部门的审核均应关注对标准通用要求的审核抽样（如：质量目标、管理职责、文件记录控制、资源管理、信息沟通、过程监视测量、持续改进等）     </w:t>
            </w:r>
          </w:p>
          <w:p>
            <w:pPr>
              <w:tabs>
                <w:tab w:val="left" w:pos="0"/>
              </w:tabs>
              <w:jc w:val="left"/>
              <w:rPr>
                <w:rFonts w:hint="default"/>
                <w:sz w:val="21"/>
                <w:szCs w:val="21"/>
                <w:lang w:val="en-US" w:eastAsia="zh-CN"/>
              </w:rPr>
            </w:pPr>
            <w:r>
              <w:rPr>
                <w:rFonts w:hint="eastAsia"/>
                <w:sz w:val="21"/>
                <w:szCs w:val="21"/>
                <w:lang w:val="en-US" w:eastAsia="zh-CN"/>
              </w:rPr>
              <w:t>2、如审核计划有变更，请将变更内容详细记录在中“信息沟通（变更）记录”，并及时与审核部确认。</w:t>
            </w:r>
          </w:p>
          <w:p>
            <w:pPr>
              <w:tabs>
                <w:tab w:val="left" w:pos="0"/>
              </w:tabs>
              <w:jc w:val="left"/>
              <w:rPr>
                <w:rFonts w:hint="default" w:ascii="宋体" w:hAnsi="宋体" w:eastAsia="宋体" w:cs="宋体"/>
                <w:bCs w:val="0"/>
                <w:spacing w:val="0"/>
                <w:kern w:val="2"/>
                <w:sz w:val="18"/>
                <w:szCs w:val="18"/>
                <w:lang w:val="en-US" w:eastAsia="zh-CN" w:bidi="ar-SA"/>
              </w:rPr>
            </w:pPr>
            <w:r>
              <w:rPr>
                <w:rFonts w:hint="eastAsia"/>
                <w:sz w:val="21"/>
                <w:szCs w:val="21"/>
                <w:lang w:val="en-US" w:eastAsia="zh-CN"/>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DFB31"/>
    <w:multiLevelType w:val="singleLevel"/>
    <w:tmpl w:val="002DFB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xNTNkOGQ1MjhjMzdhNTYxMzJkOTk5MWUwYzliYTkifQ=="/>
    <w:docVar w:name="KSO_WPS_MARK_KEY" w:val="b69c0b9b-18a5-402e-85db-2ed5c41acc67"/>
  </w:docVars>
  <w:rsids>
    <w:rsidRoot w:val="00000000"/>
    <w:rsid w:val="22CA1A10"/>
    <w:rsid w:val="343E5DBA"/>
    <w:rsid w:val="429E7C0F"/>
    <w:rsid w:val="4D5625A4"/>
    <w:rsid w:val="5DBF7836"/>
    <w:rsid w:val="7F7D2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1284</Words>
  <Characters>1720</Characters>
  <Lines>11</Lines>
  <Paragraphs>3</Paragraphs>
  <TotalTime>1</TotalTime>
  <ScaleCrop>false</ScaleCrop>
  <LinksUpToDate>false</LinksUpToDate>
  <CharactersWithSpaces>1777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杜万成</cp:lastModifiedBy>
  <dcterms:modified xsi:type="dcterms:W3CDTF">2025-05-08T04:07:25Z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2052-11.1.0.12165</vt:lpwstr>
  </property>
  <property fmtid="{D5CDD505-2E9C-101B-9397-08002B2CF9AE}" pid="4" name="KSOTemplateDocerSaveRecord">
    <vt:lpwstr>eyJoZGlkIjoiNjdlNTc2NTg1YWJiZTEzNDYyOTVjOGUzOThlMmI3YTEiLCJ1c2VySWQiOiIyMzU3MTczNDMifQ==</vt:lpwstr>
  </property>
</Properties>
</file>