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C85AC">
      <w:pPr>
        <w:spacing w:line="360" w:lineRule="auto"/>
        <w:jc w:val="center"/>
        <w:rPr>
          <w:b/>
          <w:color w:val="000000"/>
          <w:spacing w:val="100"/>
          <w:sz w:val="44"/>
        </w:rPr>
      </w:pPr>
      <w:r>
        <w:rPr>
          <w:rFonts w:hint="eastAsia"/>
          <w:b/>
          <w:color w:val="000000"/>
          <w:spacing w:val="100"/>
          <w:sz w:val="52"/>
          <w:szCs w:val="52"/>
        </w:rPr>
        <w:t>管理体系审核报告</w:t>
      </w:r>
    </w:p>
    <w:p w14:paraId="259190B9">
      <w:pPr>
        <w:spacing w:line="360" w:lineRule="auto"/>
        <w:jc w:val="center"/>
        <w:rPr>
          <w:b/>
          <w:color w:val="000000"/>
          <w:sz w:val="44"/>
          <w:szCs w:val="44"/>
        </w:rPr>
      </w:pPr>
      <w:r>
        <w:rPr>
          <w:rFonts w:hint="eastAsia"/>
          <w:b/>
          <w:color w:val="000000"/>
          <w:sz w:val="44"/>
          <w:szCs w:val="44"/>
        </w:rPr>
        <w:t>（第一阶段）</w:t>
      </w:r>
    </w:p>
    <w:p w14:paraId="1711A990">
      <w:pPr>
        <w:jc w:val="left"/>
        <w:rPr>
          <w:sz w:val="32"/>
          <w:szCs w:val="32"/>
          <w:u w:val="single"/>
        </w:rPr>
      </w:pPr>
    </w:p>
    <w:p w14:paraId="7B4A8C89">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273D7C38">
      <w:pPr>
        <w:pStyle w:val="15"/>
      </w:pPr>
    </w:p>
    <w:p w14:paraId="6D4BC668">
      <w:pPr>
        <w:pStyle w:val="15"/>
      </w:pPr>
    </w:p>
    <w:p w14:paraId="2638123F">
      <w:pPr>
        <w:pStyle w:val="15"/>
      </w:pPr>
    </w:p>
    <w:p w14:paraId="7B5EB76E">
      <w:pPr>
        <w:pStyle w:val="15"/>
      </w:pPr>
    </w:p>
    <w:p w14:paraId="3E513EE0">
      <w:pPr>
        <w:pStyle w:val="15"/>
      </w:pPr>
    </w:p>
    <w:p w14:paraId="0D3D73AD">
      <w:pPr>
        <w:pStyle w:val="15"/>
      </w:pPr>
    </w:p>
    <w:p w14:paraId="68955BC5">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北京福星祥鲤科技有限公司</w:t>
      </w:r>
      <w:bookmarkEnd w:id="0"/>
    </w:p>
    <w:p w14:paraId="54B1F375">
      <w:pPr>
        <w:spacing w:line="360" w:lineRule="auto"/>
        <w:ind w:firstLine="2037" w:firstLineChars="966"/>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质量管理体系（QMS）</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0FE0984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14:paraId="04ABE0F3">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14:paraId="1687F2A3">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14:paraId="5A690F3C">
      <w:pPr>
        <w:pStyle w:val="15"/>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53DB90DD">
      <w:pPr>
        <w:pStyle w:val="15"/>
        <w:spacing w:line="360" w:lineRule="auto"/>
        <w:ind w:left="3403" w:leftChars="1486" w:hanging="282" w:hangingChars="123"/>
      </w:pPr>
      <w:r>
        <w:rPr>
          <w:rFonts w:hint="eastAsia"/>
          <w:color w:val="000000"/>
        </w:rPr>
        <w:t>□其他</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4E54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5E26E9C3">
            <w:pPr>
              <w:pStyle w:val="15"/>
            </w:pPr>
            <w:r>
              <w:rPr>
                <w:rFonts w:hint="eastAsia"/>
                <w:b/>
                <w:bCs w:val="0"/>
              </w:rPr>
              <w:t>审核组长（签字）：</w:t>
            </w:r>
          </w:p>
        </w:tc>
        <w:tc>
          <w:tcPr>
            <w:tcW w:w="4077" w:type="dxa"/>
            <w:tcBorders>
              <w:top w:val="nil"/>
              <w:left w:val="nil"/>
              <w:bottom w:val="single" w:color="auto" w:sz="4" w:space="0"/>
              <w:right w:val="nil"/>
            </w:tcBorders>
            <w:vAlign w:val="center"/>
          </w:tcPr>
          <w:p w14:paraId="59F952C7">
            <w:pPr>
              <w:pStyle w:val="15"/>
            </w:pPr>
            <w:bookmarkStart w:id="7" w:name="总组长"/>
            <w:r>
              <w:t>李楠</w:t>
            </w:r>
            <w:bookmarkEnd w:id="7"/>
          </w:p>
        </w:tc>
      </w:tr>
      <w:tr w14:paraId="37C1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21B0B93C">
            <w:pPr>
              <w:pStyle w:val="15"/>
            </w:pPr>
            <w:r>
              <w:rPr>
                <w:rFonts w:hint="eastAsia"/>
                <w:b/>
                <w:bCs w:val="0"/>
              </w:rPr>
              <w:t>审核组员（签字）：</w:t>
            </w:r>
          </w:p>
        </w:tc>
        <w:tc>
          <w:tcPr>
            <w:tcW w:w="4077" w:type="dxa"/>
            <w:tcBorders>
              <w:left w:val="nil"/>
              <w:bottom w:val="single" w:color="auto" w:sz="4" w:space="0"/>
              <w:right w:val="nil"/>
            </w:tcBorders>
            <w:vAlign w:val="center"/>
          </w:tcPr>
          <w:p w14:paraId="11980E27">
            <w:pPr>
              <w:pStyle w:val="15"/>
            </w:pPr>
          </w:p>
        </w:tc>
      </w:tr>
      <w:tr w14:paraId="57C4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53E93A8A">
            <w:pPr>
              <w:pStyle w:val="15"/>
            </w:pPr>
            <w:r>
              <w:rPr>
                <w:rFonts w:hint="eastAsia"/>
                <w:b/>
                <w:bCs w:val="0"/>
              </w:rPr>
              <w:t>报告日期：</w:t>
            </w:r>
          </w:p>
        </w:tc>
        <w:tc>
          <w:tcPr>
            <w:tcW w:w="4077" w:type="dxa"/>
            <w:tcBorders>
              <w:left w:val="nil"/>
              <w:right w:val="nil"/>
            </w:tcBorders>
            <w:vAlign w:val="center"/>
          </w:tcPr>
          <w:p w14:paraId="0CED08D4">
            <w:pPr>
              <w:pStyle w:val="15"/>
              <w:ind w:firstLine="566" w:firstLineChars="245"/>
              <w:jc w:val="center"/>
            </w:pPr>
            <w:r>
              <w:rPr>
                <w:rFonts w:hint="eastAsia"/>
                <w:b/>
                <w:bCs w:val="0"/>
                <w:lang w:val="en-US" w:eastAsia="zh-CN"/>
              </w:rPr>
              <w:t>2025</w:t>
            </w:r>
            <w:r>
              <w:rPr>
                <w:rFonts w:hint="eastAsia"/>
                <w:b/>
                <w:bCs w:val="0"/>
              </w:rPr>
              <w:t>年</w:t>
            </w:r>
            <w:r>
              <w:rPr>
                <w:rFonts w:hint="eastAsia"/>
                <w:b/>
                <w:bCs w:val="0"/>
                <w:lang w:val="en-US" w:eastAsia="zh-CN"/>
              </w:rPr>
              <w:t>4</w:t>
            </w:r>
            <w:r>
              <w:rPr>
                <w:rFonts w:hint="eastAsia"/>
                <w:b/>
                <w:bCs w:val="0"/>
              </w:rPr>
              <w:t>月</w:t>
            </w:r>
            <w:r>
              <w:rPr>
                <w:rFonts w:hint="eastAsia"/>
                <w:b/>
                <w:bCs w:val="0"/>
                <w:lang w:val="en-US" w:eastAsia="zh-CN"/>
              </w:rPr>
              <w:t>26</w:t>
            </w:r>
            <w:r>
              <w:rPr>
                <w:rFonts w:hint="eastAsia"/>
                <w:b/>
                <w:bCs w:val="0"/>
              </w:rPr>
              <w:t>日</w:t>
            </w:r>
          </w:p>
        </w:tc>
      </w:tr>
    </w:tbl>
    <w:p w14:paraId="07BBF79D">
      <w:pPr>
        <w:pStyle w:val="15"/>
      </w:pPr>
    </w:p>
    <w:p w14:paraId="305D50BC">
      <w:pPr>
        <w:pStyle w:val="15"/>
      </w:pPr>
    </w:p>
    <w:p w14:paraId="690BB193">
      <w:pPr>
        <w:pStyle w:val="15"/>
      </w:pPr>
    </w:p>
    <w:p w14:paraId="4ADDFEFD">
      <w:pPr>
        <w:pStyle w:val="15"/>
      </w:pPr>
    </w:p>
    <w:p w14:paraId="33898FCD">
      <w:pPr>
        <w:pStyle w:val="15"/>
      </w:pPr>
    </w:p>
    <w:p w14:paraId="18031511">
      <w:pPr>
        <w:pStyle w:val="15"/>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219D0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31C26776">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5F2A70B3">
            <w:pPr>
              <w:pStyle w:val="15"/>
              <w:jc w:val="left"/>
            </w:pPr>
          </w:p>
          <w:p w14:paraId="3A537AAE">
            <w:pPr>
              <w:pStyle w:val="15"/>
              <w:jc w:val="left"/>
            </w:pPr>
          </w:p>
          <w:p w14:paraId="5EEDB67F">
            <w:pPr>
              <w:pStyle w:val="15"/>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849CF8E">
            <w:pPr>
              <w:pStyle w:val="15"/>
              <w:jc w:val="left"/>
            </w:pPr>
            <w:r>
              <w:rPr>
                <w:rFonts w:hint="eastAsia"/>
                <w:sz w:val="15"/>
                <w:szCs w:val="15"/>
              </w:rPr>
              <w:t>联系我们，扫一扫！</w:t>
            </w:r>
          </w:p>
        </w:tc>
      </w:tr>
      <w:tr w14:paraId="1A24C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389476E2">
            <w:pPr>
              <w:pStyle w:val="15"/>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7FF733B4">
            <w:pPr>
              <w:pStyle w:val="15"/>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300B927D">
            <w:pPr>
              <w:pStyle w:val="15"/>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6CCD5E78">
            <w:pPr>
              <w:pStyle w:val="15"/>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5CD110D9">
            <w:pPr>
              <w:pStyle w:val="15"/>
              <w:jc w:val="center"/>
            </w:pPr>
          </w:p>
        </w:tc>
      </w:tr>
    </w:tbl>
    <w:p w14:paraId="63CAF080">
      <w:pPr>
        <w:pStyle w:val="15"/>
      </w:pPr>
    </w:p>
    <w:p w14:paraId="2D61C9BB">
      <w:pPr>
        <w:pStyle w:val="15"/>
      </w:pPr>
    </w:p>
    <w:p w14:paraId="44D79C08">
      <w:pPr>
        <w:pStyle w:val="15"/>
      </w:pPr>
    </w:p>
    <w:p w14:paraId="2AF6F7DB">
      <w:pPr>
        <w:pStyle w:val="15"/>
      </w:pPr>
    </w:p>
    <w:p w14:paraId="59E08250">
      <w:pPr>
        <w:pStyle w:val="28"/>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14:paraId="34733F93">
      <w:pPr>
        <w:pStyle w:val="28"/>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14:paraId="722A13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5D1DE683">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14:paraId="7DEEAA58">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14:paraId="72DCE254">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14:paraId="273056B3">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14:paraId="280CD5AD">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14:paraId="5124BE21">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14:paraId="20491D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0FF35356">
            <w:pPr>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w:t>
            </w:r>
          </w:p>
        </w:tc>
        <w:tc>
          <w:tcPr>
            <w:tcW w:w="1247" w:type="dxa"/>
            <w:vAlign w:val="center"/>
          </w:tcPr>
          <w:p w14:paraId="5A0652B5">
            <w:pPr>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李楠</w:t>
            </w:r>
          </w:p>
        </w:tc>
        <w:tc>
          <w:tcPr>
            <w:tcW w:w="1051" w:type="dxa"/>
            <w:vAlign w:val="center"/>
          </w:tcPr>
          <w:p w14:paraId="7D15DB30">
            <w:pPr>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组长</w:t>
            </w:r>
          </w:p>
        </w:tc>
        <w:tc>
          <w:tcPr>
            <w:tcW w:w="1466" w:type="dxa"/>
            <w:vAlign w:val="center"/>
          </w:tcPr>
          <w:p w14:paraId="6A227EF5">
            <w:pPr>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审核员</w:t>
            </w:r>
          </w:p>
        </w:tc>
        <w:tc>
          <w:tcPr>
            <w:tcW w:w="2268" w:type="dxa"/>
            <w:vAlign w:val="center"/>
          </w:tcPr>
          <w:p w14:paraId="4A82BD5D">
            <w:pPr>
              <w:spacing w:line="360" w:lineRule="auto"/>
              <w:jc w:val="left"/>
              <w:rPr>
                <w:rFonts w:asciiTheme="minorEastAsia" w:hAnsiTheme="minorEastAsia" w:eastAsiaTheme="minorEastAsia"/>
                <w:szCs w:val="21"/>
              </w:rPr>
            </w:pPr>
            <w:r>
              <w:rPr>
                <w:sz w:val="21"/>
                <w:szCs w:val="21"/>
              </w:rPr>
              <w:t>2024-N1FSMS-1353580</w:t>
            </w:r>
          </w:p>
        </w:tc>
        <w:tc>
          <w:tcPr>
            <w:tcW w:w="3145" w:type="dxa"/>
            <w:vAlign w:val="center"/>
          </w:tcPr>
          <w:p w14:paraId="6724A776">
            <w:pPr>
              <w:spacing w:line="360" w:lineRule="auto"/>
              <w:jc w:val="left"/>
              <w:rPr>
                <w:rFonts w:asciiTheme="minorEastAsia" w:hAnsiTheme="minorEastAsia" w:eastAsiaTheme="minorEastAsia"/>
                <w:szCs w:val="21"/>
              </w:rPr>
            </w:pPr>
            <w:r>
              <w:rPr>
                <w:sz w:val="21"/>
                <w:szCs w:val="21"/>
              </w:rPr>
              <w:t>FI-2</w:t>
            </w:r>
          </w:p>
        </w:tc>
      </w:tr>
      <w:tr w14:paraId="353745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192F77AE">
            <w:pPr>
              <w:spacing w:line="360" w:lineRule="auto"/>
              <w:jc w:val="left"/>
              <w:rPr>
                <w:rFonts w:asciiTheme="minorEastAsia" w:hAnsiTheme="minorEastAsia" w:eastAsiaTheme="minorEastAsia"/>
                <w:szCs w:val="21"/>
              </w:rPr>
            </w:pPr>
          </w:p>
        </w:tc>
        <w:tc>
          <w:tcPr>
            <w:tcW w:w="1247" w:type="dxa"/>
            <w:vAlign w:val="center"/>
          </w:tcPr>
          <w:p w14:paraId="05E2C68C">
            <w:pPr>
              <w:spacing w:line="360" w:lineRule="auto"/>
              <w:jc w:val="left"/>
              <w:rPr>
                <w:rFonts w:asciiTheme="minorEastAsia" w:hAnsiTheme="minorEastAsia" w:eastAsiaTheme="minorEastAsia"/>
                <w:szCs w:val="21"/>
              </w:rPr>
            </w:pPr>
          </w:p>
        </w:tc>
        <w:tc>
          <w:tcPr>
            <w:tcW w:w="1051" w:type="dxa"/>
            <w:vAlign w:val="center"/>
          </w:tcPr>
          <w:p w14:paraId="239AC5E5">
            <w:pPr>
              <w:spacing w:line="360" w:lineRule="auto"/>
              <w:jc w:val="left"/>
              <w:rPr>
                <w:rFonts w:asciiTheme="minorEastAsia" w:hAnsiTheme="minorEastAsia" w:eastAsiaTheme="minorEastAsia"/>
              </w:rPr>
            </w:pPr>
          </w:p>
        </w:tc>
        <w:tc>
          <w:tcPr>
            <w:tcW w:w="1466" w:type="dxa"/>
            <w:vAlign w:val="center"/>
          </w:tcPr>
          <w:p w14:paraId="3F6E99F0">
            <w:pPr>
              <w:spacing w:line="360" w:lineRule="auto"/>
              <w:jc w:val="left"/>
              <w:rPr>
                <w:rFonts w:asciiTheme="minorEastAsia" w:hAnsiTheme="minorEastAsia" w:eastAsiaTheme="minorEastAsia"/>
              </w:rPr>
            </w:pPr>
          </w:p>
        </w:tc>
        <w:tc>
          <w:tcPr>
            <w:tcW w:w="2268" w:type="dxa"/>
            <w:vAlign w:val="center"/>
          </w:tcPr>
          <w:p w14:paraId="737D869A">
            <w:pPr>
              <w:spacing w:line="360" w:lineRule="auto"/>
              <w:jc w:val="left"/>
              <w:rPr>
                <w:rFonts w:asciiTheme="minorEastAsia" w:hAnsiTheme="minorEastAsia" w:eastAsiaTheme="minorEastAsia"/>
              </w:rPr>
            </w:pPr>
          </w:p>
        </w:tc>
        <w:tc>
          <w:tcPr>
            <w:tcW w:w="3145" w:type="dxa"/>
            <w:vAlign w:val="center"/>
          </w:tcPr>
          <w:p w14:paraId="0DFCC0D0">
            <w:pPr>
              <w:spacing w:line="360" w:lineRule="auto"/>
              <w:jc w:val="left"/>
              <w:rPr>
                <w:rFonts w:asciiTheme="minorEastAsia" w:hAnsiTheme="minorEastAsia" w:eastAsiaTheme="minorEastAsia"/>
              </w:rPr>
            </w:pPr>
          </w:p>
        </w:tc>
      </w:tr>
      <w:tr w14:paraId="615553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2C7A1EBB">
            <w:pPr>
              <w:spacing w:line="360" w:lineRule="auto"/>
              <w:jc w:val="left"/>
              <w:rPr>
                <w:rFonts w:asciiTheme="minorEastAsia" w:hAnsiTheme="minorEastAsia" w:eastAsiaTheme="minorEastAsia"/>
                <w:szCs w:val="21"/>
              </w:rPr>
            </w:pPr>
          </w:p>
        </w:tc>
        <w:tc>
          <w:tcPr>
            <w:tcW w:w="1247" w:type="dxa"/>
            <w:vAlign w:val="center"/>
          </w:tcPr>
          <w:p w14:paraId="6E10588E">
            <w:pPr>
              <w:spacing w:line="360" w:lineRule="auto"/>
              <w:jc w:val="left"/>
              <w:rPr>
                <w:rFonts w:asciiTheme="minorEastAsia" w:hAnsiTheme="minorEastAsia" w:eastAsiaTheme="minorEastAsia"/>
                <w:szCs w:val="21"/>
              </w:rPr>
            </w:pPr>
          </w:p>
        </w:tc>
        <w:tc>
          <w:tcPr>
            <w:tcW w:w="1051" w:type="dxa"/>
            <w:vAlign w:val="center"/>
          </w:tcPr>
          <w:p w14:paraId="0B07F6D6">
            <w:pPr>
              <w:spacing w:line="360" w:lineRule="auto"/>
              <w:jc w:val="left"/>
              <w:rPr>
                <w:rFonts w:asciiTheme="minorEastAsia" w:hAnsiTheme="minorEastAsia" w:eastAsiaTheme="minorEastAsia"/>
              </w:rPr>
            </w:pPr>
          </w:p>
        </w:tc>
        <w:tc>
          <w:tcPr>
            <w:tcW w:w="1466" w:type="dxa"/>
            <w:vAlign w:val="center"/>
          </w:tcPr>
          <w:p w14:paraId="403C215B">
            <w:pPr>
              <w:spacing w:line="360" w:lineRule="auto"/>
              <w:jc w:val="left"/>
              <w:rPr>
                <w:rFonts w:asciiTheme="minorEastAsia" w:hAnsiTheme="minorEastAsia" w:eastAsiaTheme="minorEastAsia"/>
              </w:rPr>
            </w:pPr>
          </w:p>
        </w:tc>
        <w:tc>
          <w:tcPr>
            <w:tcW w:w="2268" w:type="dxa"/>
            <w:vAlign w:val="center"/>
          </w:tcPr>
          <w:p w14:paraId="20EFD753">
            <w:pPr>
              <w:spacing w:line="360" w:lineRule="auto"/>
              <w:jc w:val="left"/>
              <w:rPr>
                <w:rFonts w:asciiTheme="minorEastAsia" w:hAnsiTheme="minorEastAsia" w:eastAsiaTheme="minorEastAsia"/>
              </w:rPr>
            </w:pPr>
          </w:p>
        </w:tc>
        <w:tc>
          <w:tcPr>
            <w:tcW w:w="3145" w:type="dxa"/>
            <w:vAlign w:val="center"/>
          </w:tcPr>
          <w:p w14:paraId="6BA81BE9">
            <w:pPr>
              <w:spacing w:line="360" w:lineRule="auto"/>
              <w:jc w:val="left"/>
              <w:rPr>
                <w:rFonts w:asciiTheme="minorEastAsia" w:hAnsiTheme="minorEastAsia" w:eastAsiaTheme="minorEastAsia"/>
              </w:rPr>
            </w:pPr>
          </w:p>
        </w:tc>
      </w:tr>
    </w:tbl>
    <w:p w14:paraId="3CFDF421">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1771FE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66804B82">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14:paraId="24D2F830">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14:paraId="69DD4C00">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14:paraId="61CB9FF5">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14:paraId="6C5977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68FA74D5">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14:paraId="3AE3BBA6">
            <w:pPr>
              <w:spacing w:line="360" w:lineRule="auto"/>
              <w:jc w:val="lef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夏爽</w:t>
            </w:r>
          </w:p>
        </w:tc>
        <w:tc>
          <w:tcPr>
            <w:tcW w:w="2410" w:type="dxa"/>
            <w:vAlign w:val="center"/>
          </w:tcPr>
          <w:p w14:paraId="7EFEF77D">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14:paraId="351DAD3C">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14:paraId="583BA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6A9D9D0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14:paraId="57E2DCE5">
            <w:pPr>
              <w:spacing w:line="360" w:lineRule="auto"/>
              <w:jc w:val="left"/>
              <w:rPr>
                <w:rFonts w:asciiTheme="minorEastAsia" w:hAnsiTheme="minorEastAsia" w:eastAsiaTheme="minorEastAsia"/>
                <w:szCs w:val="21"/>
              </w:rPr>
            </w:pPr>
          </w:p>
        </w:tc>
        <w:tc>
          <w:tcPr>
            <w:tcW w:w="2410" w:type="dxa"/>
            <w:vAlign w:val="center"/>
          </w:tcPr>
          <w:p w14:paraId="340C3FE5">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14:paraId="10A57852">
            <w:pPr>
              <w:spacing w:line="360" w:lineRule="auto"/>
              <w:jc w:val="left"/>
              <w:rPr>
                <w:rFonts w:asciiTheme="minorEastAsia" w:hAnsiTheme="minorEastAsia" w:eastAsiaTheme="minorEastAsia"/>
                <w:szCs w:val="21"/>
              </w:rPr>
            </w:pPr>
          </w:p>
        </w:tc>
      </w:tr>
    </w:tbl>
    <w:p w14:paraId="534D864C">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14:paraId="02DA41E4">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lang w:eastAsia="zh-CN"/>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14:paraId="1ACE91C1">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14:paraId="5041D874">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lang w:eastAsia="zh-CN"/>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14:paraId="071FA485">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14:paraId="4AC0CCCA">
      <w:pPr>
        <w:pStyle w:val="28"/>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14:paraId="731917DB">
      <w:pPr>
        <w:pStyle w:val="28"/>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14:paraId="2162F4DA">
        <w:tc>
          <w:tcPr>
            <w:tcW w:w="3827" w:type="dxa"/>
          </w:tcPr>
          <w:p w14:paraId="6F328F6B">
            <w:pPr>
              <w:pStyle w:val="28"/>
              <w:spacing w:line="360" w:lineRule="auto"/>
              <w:outlineLvl w:val="1"/>
              <w:rPr>
                <w:rFonts w:asciiTheme="minorEastAsia" w:hAnsiTheme="minorEastAsia" w:eastAsiaTheme="minorEastAsia"/>
                <w:color w:val="auto"/>
                <w:kern w:val="2"/>
                <w:sz w:val="21"/>
                <w:szCs w:val="21"/>
              </w:rPr>
            </w:pPr>
            <w:bookmarkStart w:id="8" w:name="Q勾选Add1"/>
            <w:r>
              <w:rPr>
                <w:rFonts w:hint="eastAsia" w:cs="宋体" w:asciiTheme="minorEastAsia" w:hAnsiTheme="minorEastAsia" w:eastAsiaTheme="minorEastAsia"/>
                <w:b/>
                <w:color w:val="auto"/>
                <w:sz w:val="21"/>
                <w:szCs w:val="21"/>
                <w:lang w:val="de-DE"/>
              </w:rPr>
              <w:t>□</w:t>
            </w:r>
            <w:bookmarkEnd w:id="8"/>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14:paraId="72CDAA55">
            <w:pPr>
              <w:pStyle w:val="28"/>
              <w:spacing w:line="360" w:lineRule="auto"/>
              <w:outlineLvl w:val="1"/>
              <w:rPr>
                <w:rFonts w:asciiTheme="minorEastAsia" w:hAnsiTheme="minorEastAsia" w:eastAsiaTheme="minorEastAsia"/>
                <w:color w:val="auto"/>
                <w:kern w:val="2"/>
                <w:sz w:val="21"/>
                <w:szCs w:val="21"/>
              </w:rPr>
            </w:pPr>
            <w:bookmarkStart w:id="9" w:name="QJ勾选Add1"/>
            <w:r>
              <w:rPr>
                <w:rFonts w:hint="eastAsia" w:cs="宋体" w:asciiTheme="minorEastAsia" w:hAnsiTheme="minorEastAsia" w:eastAsiaTheme="minorEastAsia"/>
                <w:b/>
                <w:color w:val="auto"/>
                <w:sz w:val="21"/>
                <w:szCs w:val="21"/>
              </w:rPr>
              <w:t>□</w:t>
            </w:r>
            <w:bookmarkEnd w:id="9"/>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14:paraId="22822C4B">
        <w:tblPrEx>
          <w:tblCellMar>
            <w:top w:w="0" w:type="dxa"/>
            <w:left w:w="108" w:type="dxa"/>
            <w:bottom w:w="0" w:type="dxa"/>
            <w:right w:w="108" w:type="dxa"/>
          </w:tblCellMar>
        </w:tblPrEx>
        <w:tc>
          <w:tcPr>
            <w:tcW w:w="3827" w:type="dxa"/>
          </w:tcPr>
          <w:p w14:paraId="30AB56D2">
            <w:pPr>
              <w:pStyle w:val="28"/>
              <w:spacing w:line="360" w:lineRule="auto"/>
              <w:outlineLvl w:val="1"/>
              <w:rPr>
                <w:rFonts w:asciiTheme="minorEastAsia" w:hAnsiTheme="minorEastAsia" w:eastAsiaTheme="minorEastAsia"/>
                <w:color w:val="auto"/>
                <w:kern w:val="2"/>
                <w:sz w:val="21"/>
                <w:szCs w:val="21"/>
              </w:rPr>
            </w:pPr>
            <w:bookmarkStart w:id="10" w:name="E勾选Add1"/>
            <w:r>
              <w:rPr>
                <w:rFonts w:hint="eastAsia" w:cs="宋体" w:asciiTheme="minorEastAsia" w:hAnsiTheme="minorEastAsia" w:eastAsiaTheme="minorEastAsia"/>
                <w:b/>
                <w:color w:val="auto"/>
                <w:sz w:val="21"/>
                <w:szCs w:val="21"/>
                <w:lang w:val="de-DE"/>
              </w:rPr>
              <w:t>□</w:t>
            </w:r>
            <w:bookmarkEnd w:id="10"/>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14:paraId="11A66831">
            <w:pPr>
              <w:pStyle w:val="28"/>
              <w:spacing w:line="360" w:lineRule="auto"/>
              <w:outlineLvl w:val="1"/>
              <w:rPr>
                <w:rFonts w:asciiTheme="minorEastAsia" w:hAnsiTheme="minorEastAsia" w:eastAsiaTheme="minorEastAsia"/>
                <w:color w:val="auto"/>
                <w:kern w:val="2"/>
                <w:sz w:val="21"/>
                <w:szCs w:val="21"/>
              </w:rPr>
            </w:pPr>
          </w:p>
        </w:tc>
      </w:tr>
      <w:tr w14:paraId="6DFA3657">
        <w:tblPrEx>
          <w:tblCellMar>
            <w:top w:w="0" w:type="dxa"/>
            <w:left w:w="108" w:type="dxa"/>
            <w:bottom w:w="0" w:type="dxa"/>
            <w:right w:w="108" w:type="dxa"/>
          </w:tblCellMar>
        </w:tblPrEx>
        <w:tc>
          <w:tcPr>
            <w:tcW w:w="7796" w:type="dxa"/>
            <w:gridSpan w:val="2"/>
          </w:tcPr>
          <w:p w14:paraId="7C2CD8EA">
            <w:pPr>
              <w:pStyle w:val="28"/>
              <w:spacing w:line="360" w:lineRule="auto"/>
              <w:outlineLvl w:val="1"/>
              <w:rPr>
                <w:rFonts w:cs="宋体" w:asciiTheme="minorEastAsia" w:hAnsiTheme="minorEastAsia" w:eastAsiaTheme="minorEastAsia"/>
                <w:b/>
                <w:color w:val="auto"/>
                <w:sz w:val="21"/>
                <w:szCs w:val="21"/>
              </w:rPr>
            </w:pPr>
            <w:bookmarkStart w:id="11" w:name="S勾选Add1"/>
            <w:r>
              <w:rPr>
                <w:rFonts w:hint="eastAsia" w:cs="宋体" w:asciiTheme="minorEastAsia" w:hAnsiTheme="minorEastAsia" w:eastAsiaTheme="minorEastAsia"/>
                <w:b/>
                <w:color w:val="auto"/>
                <w:sz w:val="21"/>
                <w:szCs w:val="21"/>
              </w:rPr>
              <w:t>□</w:t>
            </w:r>
            <w:bookmarkEnd w:id="11"/>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14:paraId="1FCA1A17">
        <w:tblPrEx>
          <w:tblCellMar>
            <w:top w:w="0" w:type="dxa"/>
            <w:left w:w="108" w:type="dxa"/>
            <w:bottom w:w="0" w:type="dxa"/>
            <w:right w:w="108" w:type="dxa"/>
          </w:tblCellMar>
        </w:tblPrEx>
        <w:tc>
          <w:tcPr>
            <w:tcW w:w="7796" w:type="dxa"/>
            <w:gridSpan w:val="2"/>
          </w:tcPr>
          <w:p w14:paraId="5641DD4D">
            <w:pPr>
              <w:pStyle w:val="28"/>
              <w:spacing w:line="360" w:lineRule="auto"/>
              <w:outlineLvl w:val="1"/>
              <w:rPr>
                <w:rFonts w:cs="宋体" w:asciiTheme="minorEastAsia" w:hAnsiTheme="minorEastAsia" w:eastAsiaTheme="minorEastAsia"/>
                <w:b/>
                <w:color w:val="auto"/>
                <w:sz w:val="21"/>
                <w:szCs w:val="21"/>
              </w:rPr>
            </w:pPr>
            <w:bookmarkStart w:id="12" w:name="F勾选Add1"/>
            <w:r>
              <w:rPr>
                <w:rFonts w:hint="eastAsia" w:cs="宋体" w:asciiTheme="minorEastAsia" w:hAnsiTheme="minorEastAsia" w:eastAsiaTheme="minorEastAsia"/>
                <w:b/>
                <w:color w:val="auto"/>
                <w:sz w:val="21"/>
                <w:szCs w:val="21"/>
              </w:rPr>
              <w:t>■</w:t>
            </w:r>
            <w:bookmarkEnd w:id="12"/>
            <w:r>
              <w:rPr>
                <w:rFonts w:asciiTheme="minorEastAsia" w:hAnsiTheme="minorEastAsia" w:eastAsiaTheme="minorEastAsia"/>
                <w:color w:val="auto"/>
                <w:kern w:val="2"/>
                <w:sz w:val="21"/>
                <w:szCs w:val="21"/>
              </w:rPr>
              <w:t>ISO 22000:2018</w:t>
            </w:r>
          </w:p>
        </w:tc>
      </w:tr>
      <w:tr w14:paraId="68ED3BDB">
        <w:tblPrEx>
          <w:tblCellMar>
            <w:top w:w="0" w:type="dxa"/>
            <w:left w:w="108" w:type="dxa"/>
            <w:bottom w:w="0" w:type="dxa"/>
            <w:right w:w="108" w:type="dxa"/>
          </w:tblCellMar>
        </w:tblPrEx>
        <w:trPr>
          <w:trHeight w:val="107" w:hRule="atLeast"/>
        </w:trPr>
        <w:tc>
          <w:tcPr>
            <w:tcW w:w="7796" w:type="dxa"/>
            <w:gridSpan w:val="2"/>
          </w:tcPr>
          <w:p w14:paraId="38E12A20">
            <w:pPr>
              <w:pStyle w:val="28"/>
              <w:spacing w:line="360" w:lineRule="auto"/>
              <w:outlineLvl w:val="1"/>
              <w:rPr>
                <w:rFonts w:cs="宋体" w:asciiTheme="minorEastAsia" w:hAnsiTheme="minorEastAsia" w:eastAsiaTheme="minorEastAsia"/>
                <w:b/>
                <w:color w:val="auto"/>
                <w:sz w:val="21"/>
                <w:szCs w:val="21"/>
              </w:rPr>
            </w:pPr>
            <w:bookmarkStart w:id="13" w:name="H勾选Add1"/>
            <w:r>
              <w:rPr>
                <w:rFonts w:hint="eastAsia" w:cs="宋体" w:asciiTheme="minorEastAsia" w:hAnsiTheme="minorEastAsia" w:eastAsiaTheme="minorEastAsia"/>
                <w:b/>
                <w:color w:val="auto"/>
                <w:sz w:val="21"/>
                <w:szCs w:val="21"/>
              </w:rPr>
              <w:t>□</w:t>
            </w:r>
            <w:bookmarkEnd w:id="13"/>
            <w:r>
              <w:rPr>
                <w:rFonts w:cs="宋体" w:asciiTheme="minorEastAsia" w:hAnsiTheme="minorEastAsia" w:eastAsiaTheme="minorEastAsia"/>
                <w:bCs/>
                <w:color w:val="auto"/>
                <w:sz w:val="21"/>
                <w:szCs w:val="21"/>
              </w:rPr>
              <w:t>危害分析与关键控制点（HACCP）体系认证要求（V1.0）</w:t>
            </w:r>
          </w:p>
        </w:tc>
      </w:tr>
    </w:tbl>
    <w:p w14:paraId="7D823246">
      <w:pPr>
        <w:pStyle w:val="28"/>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单体系审核</w:t>
      </w:r>
    </w:p>
    <w:p w14:paraId="06CFAB02">
      <w:pPr>
        <w:pStyle w:val="28"/>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专项技术规范：T/CCAA 29-2016 《食品安全管理体系 食品批发和零售企业要求》</w:t>
      </w:r>
    </w:p>
    <w:p w14:paraId="67E01DB4">
      <w:pPr>
        <w:pStyle w:val="28"/>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相关的法律法规：食品安全法</w:t>
      </w:r>
    </w:p>
    <w:p w14:paraId="1BE06227">
      <w:pPr>
        <w:pStyle w:val="28"/>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14:paraId="0A222AE4">
      <w:pPr>
        <w:pStyle w:val="28"/>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GB 31621-2014 《食品安全国家标准 食品经营过程卫生规范》</w:t>
      </w:r>
    </w:p>
    <w:p w14:paraId="5BD4338F">
      <w:pPr>
        <w:pStyle w:val="28"/>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GB </w:t>
      </w:r>
      <w:r>
        <w:rPr>
          <w:rFonts w:asciiTheme="minorEastAsia" w:hAnsiTheme="minorEastAsia" w:eastAsiaTheme="minorEastAsia"/>
          <w:color w:val="auto"/>
          <w:kern w:val="2"/>
          <w:sz w:val="21"/>
          <w:szCs w:val="21"/>
        </w:rPr>
        <w:t>2762</w:t>
      </w:r>
      <w:r>
        <w:rPr>
          <w:rFonts w:hint="eastAsia" w:asciiTheme="minorEastAsia" w:hAnsiTheme="minorEastAsia" w:eastAsiaTheme="minorEastAsia"/>
          <w:color w:val="auto"/>
          <w:kern w:val="2"/>
          <w:sz w:val="21"/>
          <w:szCs w:val="21"/>
        </w:rPr>
        <w:t>-20</w:t>
      </w:r>
      <w:r>
        <w:rPr>
          <w:rFonts w:asciiTheme="minorEastAsia" w:hAnsiTheme="minorEastAsia" w:eastAsiaTheme="minorEastAsia"/>
          <w:color w:val="auto"/>
          <w:kern w:val="2"/>
          <w:sz w:val="21"/>
          <w:szCs w:val="21"/>
        </w:rPr>
        <w:t>22</w:t>
      </w:r>
      <w:r>
        <w:rPr>
          <w:rFonts w:hint="eastAsia" w:asciiTheme="minorEastAsia" w:hAnsiTheme="minorEastAsia" w:eastAsiaTheme="minorEastAsia"/>
          <w:color w:val="auto"/>
          <w:kern w:val="2"/>
          <w:sz w:val="21"/>
          <w:szCs w:val="21"/>
        </w:rPr>
        <w:t xml:space="preserve"> 《食品安全国家标准 食品污染物限量》</w:t>
      </w:r>
    </w:p>
    <w:p w14:paraId="76CAE0C5">
      <w:pPr>
        <w:pStyle w:val="28"/>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GB 7718-2011 《食品安全国家标准 预包装食品标签通则》</w:t>
      </w:r>
    </w:p>
    <w:p w14:paraId="601DCE04">
      <w:pPr>
        <w:pStyle w:val="28"/>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其他有关要求（顾客、相关方要求）：无</w:t>
      </w:r>
    </w:p>
    <w:p w14:paraId="72755162">
      <w:pPr>
        <w:pStyle w:val="28"/>
        <w:spacing w:before="156" w:beforeLines="50" w:after="156" w:afterLines="50" w:line="360" w:lineRule="auto"/>
        <w:rPr>
          <w:rFonts w:hint="eastAsia"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14:paraId="19C005F4">
      <w:pPr>
        <w:pStyle w:val="28"/>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4" w:name="一阶段审核日期起始"/>
      <w:r>
        <w:rPr>
          <w:rFonts w:hint="eastAsia" w:asciiTheme="minorEastAsia" w:hAnsiTheme="minorEastAsia" w:eastAsiaTheme="minorEastAsia"/>
          <w:color w:val="auto"/>
          <w:kern w:val="2"/>
          <w:sz w:val="21"/>
          <w:szCs w:val="21"/>
        </w:rPr>
        <w:t>202</w:t>
      </w:r>
      <w:r>
        <w:rPr>
          <w:rFonts w:hint="eastAsia" w:asciiTheme="minorEastAsia" w:hAnsiTheme="minorEastAsia" w:eastAsiaTheme="minorEastAsia"/>
          <w:color w:val="auto"/>
          <w:kern w:val="2"/>
          <w:sz w:val="21"/>
          <w:szCs w:val="21"/>
          <w:lang w:val="en-US" w:eastAsia="zh-CN"/>
        </w:rPr>
        <w:t>5</w:t>
      </w:r>
      <w:r>
        <w:rPr>
          <w:rFonts w:hint="eastAsia" w:asciiTheme="minorEastAsia" w:hAnsiTheme="minorEastAsia" w:eastAsiaTheme="minorEastAsia"/>
          <w:color w:val="auto"/>
          <w:kern w:val="2"/>
          <w:sz w:val="21"/>
          <w:szCs w:val="21"/>
        </w:rPr>
        <w:t>-</w:t>
      </w:r>
      <w:r>
        <w:rPr>
          <w:rFonts w:hint="eastAsia" w:asciiTheme="minorEastAsia" w:hAnsiTheme="minorEastAsia" w:eastAsiaTheme="minorEastAsia"/>
          <w:color w:val="auto"/>
          <w:kern w:val="2"/>
          <w:sz w:val="21"/>
          <w:szCs w:val="21"/>
          <w:lang w:val="en-US" w:eastAsia="zh-CN"/>
        </w:rPr>
        <w:t>4</w:t>
      </w:r>
      <w:r>
        <w:rPr>
          <w:rFonts w:hint="eastAsia" w:asciiTheme="minorEastAsia" w:hAnsiTheme="minorEastAsia" w:eastAsiaTheme="minorEastAsia"/>
          <w:color w:val="auto"/>
          <w:kern w:val="2"/>
          <w:sz w:val="21"/>
          <w:szCs w:val="21"/>
        </w:rPr>
        <w:t>-</w:t>
      </w:r>
      <w:r>
        <w:rPr>
          <w:rFonts w:hint="eastAsia" w:asciiTheme="minorEastAsia" w:hAnsiTheme="minorEastAsia" w:eastAsiaTheme="minorEastAsia"/>
          <w:color w:val="auto"/>
          <w:kern w:val="2"/>
          <w:sz w:val="21"/>
          <w:szCs w:val="21"/>
          <w:lang w:val="en-US" w:eastAsia="zh-CN"/>
        </w:rPr>
        <w:t>26 8：30</w:t>
      </w:r>
      <w:r>
        <w:rPr>
          <w:rFonts w:hint="eastAsia" w:asciiTheme="minorEastAsia" w:hAnsiTheme="minorEastAsia" w:eastAsiaTheme="minorEastAsia"/>
          <w:color w:val="auto"/>
          <w:kern w:val="2"/>
          <w:sz w:val="21"/>
          <w:szCs w:val="21"/>
        </w:rPr>
        <w:t>至202</w:t>
      </w:r>
      <w:r>
        <w:rPr>
          <w:rFonts w:hint="eastAsia" w:asciiTheme="minorEastAsia" w:hAnsiTheme="minorEastAsia" w:eastAsiaTheme="minorEastAsia"/>
          <w:color w:val="auto"/>
          <w:kern w:val="2"/>
          <w:sz w:val="21"/>
          <w:szCs w:val="21"/>
          <w:lang w:val="en-US" w:eastAsia="zh-CN"/>
        </w:rPr>
        <w:t>5</w:t>
      </w:r>
      <w:r>
        <w:rPr>
          <w:rFonts w:hint="eastAsia" w:asciiTheme="minorEastAsia" w:hAnsiTheme="minorEastAsia" w:eastAsiaTheme="minorEastAsia"/>
          <w:color w:val="auto"/>
          <w:kern w:val="2"/>
          <w:sz w:val="21"/>
          <w:szCs w:val="21"/>
        </w:rPr>
        <w:t>-</w:t>
      </w:r>
      <w:r>
        <w:rPr>
          <w:rFonts w:hint="eastAsia" w:asciiTheme="minorEastAsia" w:hAnsiTheme="minorEastAsia" w:eastAsiaTheme="minorEastAsia"/>
          <w:color w:val="auto"/>
          <w:kern w:val="2"/>
          <w:sz w:val="21"/>
          <w:szCs w:val="21"/>
          <w:lang w:val="en-US" w:eastAsia="zh-CN"/>
        </w:rPr>
        <w:t>4</w:t>
      </w:r>
      <w:r>
        <w:rPr>
          <w:rFonts w:hint="eastAsia" w:asciiTheme="minorEastAsia" w:hAnsiTheme="minorEastAsia" w:eastAsiaTheme="minorEastAsia"/>
          <w:color w:val="auto"/>
          <w:kern w:val="2"/>
          <w:sz w:val="21"/>
          <w:szCs w:val="21"/>
        </w:rPr>
        <w:t>-</w:t>
      </w:r>
      <w:r>
        <w:rPr>
          <w:rFonts w:hint="eastAsia" w:asciiTheme="minorEastAsia" w:hAnsiTheme="minorEastAsia" w:eastAsiaTheme="minorEastAsia"/>
          <w:color w:val="auto"/>
          <w:kern w:val="2"/>
          <w:sz w:val="21"/>
          <w:szCs w:val="21"/>
          <w:lang w:val="en-US" w:eastAsia="zh-CN"/>
        </w:rPr>
        <w:t>26</w:t>
      </w:r>
      <w:r>
        <w:rPr>
          <w:rFonts w:hint="eastAsia" w:asciiTheme="minorEastAsia" w:hAnsiTheme="minorEastAsia" w:eastAsiaTheme="minorEastAsia"/>
          <w:color w:val="auto"/>
          <w:kern w:val="2"/>
          <w:sz w:val="21"/>
          <w:szCs w:val="21"/>
        </w:rPr>
        <w:t xml:space="preserve"> 1</w:t>
      </w:r>
      <w:r>
        <w:rPr>
          <w:rFonts w:hint="eastAsia" w:asciiTheme="minorEastAsia" w:hAnsiTheme="minorEastAsia" w:eastAsiaTheme="minorEastAsia"/>
          <w:color w:val="auto"/>
          <w:kern w:val="2"/>
          <w:sz w:val="21"/>
          <w:szCs w:val="21"/>
          <w:lang w:val="en-US" w:eastAsia="zh-CN"/>
        </w:rPr>
        <w:t>2</w:t>
      </w:r>
      <w:r>
        <w:rPr>
          <w:rFonts w:hint="eastAsia" w:asciiTheme="minorEastAsia" w:hAnsiTheme="minorEastAsia" w:eastAsiaTheme="minorEastAsia"/>
          <w:color w:val="auto"/>
          <w:kern w:val="2"/>
          <w:sz w:val="21"/>
          <w:szCs w:val="21"/>
        </w:rPr>
        <w:t>：</w:t>
      </w:r>
      <w:r>
        <w:rPr>
          <w:rFonts w:hint="eastAsia" w:asciiTheme="minorEastAsia" w:hAnsiTheme="minorEastAsia" w:eastAsiaTheme="minorEastAsia"/>
          <w:color w:val="auto"/>
          <w:kern w:val="2"/>
          <w:sz w:val="21"/>
          <w:szCs w:val="21"/>
          <w:lang w:val="en-US" w:eastAsia="zh-CN"/>
        </w:rPr>
        <w:t>3</w:t>
      </w:r>
      <w:r>
        <w:rPr>
          <w:rFonts w:hint="eastAsia" w:asciiTheme="minorEastAsia" w:hAnsiTheme="minorEastAsia" w:eastAsiaTheme="minorEastAsia"/>
          <w:color w:val="auto"/>
          <w:kern w:val="2"/>
          <w:sz w:val="21"/>
          <w:szCs w:val="21"/>
        </w:rPr>
        <w:t>0</w:t>
      </w:r>
      <w:bookmarkEnd w:id="14"/>
      <w:r>
        <w:rPr>
          <w:rFonts w:hint="eastAsia" w:asciiTheme="minorEastAsia" w:hAnsiTheme="minorEastAsia" w:eastAsiaTheme="minorEastAsia"/>
          <w:color w:val="auto"/>
          <w:kern w:val="2"/>
          <w:sz w:val="21"/>
          <w:szCs w:val="21"/>
        </w:rPr>
        <w:t>实施审核。</w:t>
      </w:r>
    </w:p>
    <w:p w14:paraId="76B12419">
      <w:pPr>
        <w:pStyle w:val="28"/>
        <w:spacing w:line="360" w:lineRule="auto"/>
        <w:ind w:firstLine="630" w:firstLineChars="300"/>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审核覆盖时期：自 2024年 </w:t>
      </w:r>
      <w:r>
        <w:rPr>
          <w:rFonts w:hint="eastAsia" w:asciiTheme="minorEastAsia" w:hAnsiTheme="minorEastAsia" w:eastAsiaTheme="minorEastAsia"/>
          <w:color w:val="auto"/>
          <w:kern w:val="2"/>
          <w:sz w:val="21"/>
          <w:szCs w:val="21"/>
          <w:lang w:val="en-US" w:eastAsia="zh-CN"/>
        </w:rPr>
        <w:t>12</w:t>
      </w:r>
      <w:r>
        <w:rPr>
          <w:rFonts w:hint="eastAsia" w:asciiTheme="minorEastAsia" w:hAnsiTheme="minorEastAsia" w:eastAsiaTheme="minorEastAsia"/>
          <w:color w:val="auto"/>
          <w:kern w:val="2"/>
          <w:sz w:val="21"/>
          <w:szCs w:val="21"/>
        </w:rPr>
        <w:t xml:space="preserve"> 月 </w:t>
      </w:r>
      <w:r>
        <w:rPr>
          <w:rFonts w:hint="eastAsia" w:asciiTheme="minorEastAsia" w:hAnsiTheme="minorEastAsia" w:eastAsiaTheme="minorEastAsia"/>
          <w:color w:val="auto"/>
          <w:kern w:val="2"/>
          <w:sz w:val="21"/>
          <w:szCs w:val="21"/>
          <w:lang w:val="en-US" w:eastAsia="zh-CN"/>
        </w:rPr>
        <w:t>30</w:t>
      </w:r>
      <w:r>
        <w:rPr>
          <w:rFonts w:hint="eastAsia" w:asciiTheme="minorEastAsia" w:hAnsiTheme="minorEastAsia" w:eastAsiaTheme="minorEastAsia"/>
          <w:color w:val="auto"/>
          <w:kern w:val="2"/>
          <w:sz w:val="21"/>
          <w:szCs w:val="21"/>
        </w:rPr>
        <w:t>日至本次审核结束日。</w:t>
      </w:r>
    </w:p>
    <w:p w14:paraId="04C2D7B6">
      <w:pPr>
        <w:pStyle w:val="28"/>
        <w:spacing w:line="360" w:lineRule="auto"/>
        <w:ind w:firstLine="630" w:firstLineChars="300"/>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5" w:name="现场审核勾选"/>
      <w:r>
        <w:rPr>
          <w:rFonts w:hint="eastAsia" w:cs="宋体" w:asciiTheme="minorEastAsia" w:hAnsiTheme="minorEastAsia" w:eastAsiaTheme="minorEastAsia"/>
          <w:sz w:val="21"/>
          <w:szCs w:val="21"/>
        </w:rPr>
        <w:t>■</w:t>
      </w:r>
      <w:bookmarkEnd w:id="15"/>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6" w:name="远程审核勾选"/>
      <w:r>
        <w:rPr>
          <w:rFonts w:hint="eastAsia" w:cs="宋体" w:asciiTheme="minorEastAsia" w:hAnsiTheme="minorEastAsia" w:eastAsiaTheme="minorEastAsia"/>
          <w:sz w:val="21"/>
          <w:szCs w:val="21"/>
        </w:rPr>
        <w:t>□</w:t>
      </w:r>
      <w:bookmarkEnd w:id="16"/>
      <w:r>
        <w:rPr>
          <w:rFonts w:hint="eastAsia" w:cs="宋体" w:asciiTheme="minorEastAsia" w:hAnsiTheme="minorEastAsia" w:eastAsiaTheme="minorEastAsia"/>
          <w:sz w:val="21"/>
          <w:szCs w:val="21"/>
        </w:rPr>
        <w:t xml:space="preserve">远程审核   </w:t>
      </w:r>
      <w:bookmarkStart w:id="17" w:name="现场与远程审核勾选"/>
      <w:r>
        <w:rPr>
          <w:rFonts w:hint="eastAsia" w:cs="宋体" w:asciiTheme="minorEastAsia" w:hAnsiTheme="minorEastAsia" w:eastAsiaTheme="minorEastAsia"/>
          <w:sz w:val="21"/>
          <w:szCs w:val="21"/>
        </w:rPr>
        <w:t>□</w:t>
      </w:r>
      <w:bookmarkEnd w:id="17"/>
      <w:r>
        <w:rPr>
          <w:rFonts w:hint="eastAsia" w:cs="宋体" w:asciiTheme="minorEastAsia" w:hAnsiTheme="minorEastAsia" w:eastAsiaTheme="minorEastAsia"/>
          <w:sz w:val="21"/>
          <w:szCs w:val="21"/>
        </w:rPr>
        <w:t xml:space="preserve">现场结合远程审核 </w:t>
      </w:r>
    </w:p>
    <w:p w14:paraId="41DA01B6">
      <w:pPr>
        <w:pStyle w:val="28"/>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14:paraId="63807D7B">
      <w:pPr>
        <w:pStyle w:val="28"/>
        <w:spacing w:line="360" w:lineRule="auto"/>
        <w:rPr>
          <w:sz w:val="21"/>
          <w:szCs w:val="21"/>
        </w:rPr>
      </w:pPr>
      <w:r>
        <w:rPr>
          <w:rFonts w:hint="eastAsia"/>
          <w:sz w:val="21"/>
          <w:szCs w:val="21"/>
        </w:rPr>
        <w:t>不一致</w:t>
      </w:r>
    </w:p>
    <w:p w14:paraId="7E3755CB">
      <w:pPr>
        <w:spacing w:line="276" w:lineRule="auto"/>
        <w:jc w:val="left"/>
        <w:rPr>
          <w:rFonts w:hint="eastAsia" w:ascii="宋体" w:hAnsi="宋体"/>
          <w:szCs w:val="21"/>
          <w:u w:val="single"/>
        </w:rPr>
      </w:pPr>
      <w:r>
        <w:rPr>
          <w:rFonts w:hint="eastAsia" w:ascii="宋体" w:hAnsi="宋体"/>
          <w:szCs w:val="21"/>
          <w:u w:val="single"/>
          <w:lang w:val="en-US" w:eastAsia="zh-CN"/>
        </w:rPr>
        <w:t>外包</w:t>
      </w:r>
      <w:r>
        <w:rPr>
          <w:rFonts w:hint="eastAsia" w:ascii="宋体" w:hAnsi="宋体"/>
          <w:szCs w:val="21"/>
          <w:u w:val="single"/>
        </w:rPr>
        <w:t>变更：</w:t>
      </w:r>
    </w:p>
    <w:p w14:paraId="2BE33798">
      <w:pPr>
        <w:pStyle w:val="15"/>
        <w:rPr>
          <w:rFonts w:hint="default" w:eastAsia="宋体"/>
          <w:lang w:val="en-US" w:eastAsia="zh-CN"/>
        </w:rPr>
      </w:pPr>
      <w:r>
        <w:rPr>
          <w:rFonts w:hint="eastAsia"/>
        </w:rPr>
        <w:t>变更前：</w:t>
      </w:r>
      <w:r>
        <w:rPr>
          <w:rFonts w:hint="eastAsia"/>
          <w:lang w:val="en-US" w:eastAsia="zh-CN"/>
        </w:rPr>
        <w:t>产品快递</w:t>
      </w:r>
    </w:p>
    <w:p w14:paraId="413344EB">
      <w:pPr>
        <w:keepNext w:val="0"/>
        <w:keepLines w:val="0"/>
        <w:suppressLineNumbers w:val="0"/>
        <w:adjustRightInd w:val="0"/>
        <w:snapToGrid w:val="0"/>
        <w:spacing w:before="0" w:beforeAutospacing="0" w:after="0" w:afterAutospacing="0"/>
        <w:ind w:left="0" w:right="0"/>
        <w:rPr>
          <w:rFonts w:hint="default" w:ascii="宋体" w:hAnsi="宋体" w:eastAsia="宋体" w:cs="宋体"/>
          <w:bCs/>
          <w:szCs w:val="21"/>
          <w:lang w:val="en-US" w:eastAsia="zh-CN"/>
        </w:rPr>
      </w:pPr>
      <w:r>
        <w:rPr>
          <w:rFonts w:hint="eastAsia"/>
        </w:rPr>
        <w:t>变更后：</w:t>
      </w:r>
      <w:r>
        <w:rPr>
          <w:rFonts w:hint="eastAsia"/>
          <w:lang w:val="en-US" w:eastAsia="zh-CN"/>
        </w:rPr>
        <w:t>物业、</w:t>
      </w:r>
      <w:r>
        <w:rPr>
          <w:rFonts w:hint="eastAsia" w:ascii="宋体" w:hAnsi="宋体" w:cs="宋体"/>
          <w:bCs/>
          <w:szCs w:val="21"/>
          <w:lang w:val="en-US" w:eastAsia="zh-CN"/>
        </w:rPr>
        <w:t>供方结算API平台搭建</w:t>
      </w:r>
    </w:p>
    <w:p w14:paraId="1C19E068">
      <w:pPr>
        <w:pStyle w:val="15"/>
        <w:rPr>
          <w:rFonts w:hint="eastAsia" w:eastAsia="宋体"/>
          <w:lang w:val="en-US" w:eastAsia="zh-CN"/>
        </w:rPr>
      </w:pPr>
    </w:p>
    <w:p w14:paraId="348E14CA">
      <w:pPr>
        <w:pStyle w:val="28"/>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根据企业实际情况进行调整</w:t>
      </w:r>
    </w:p>
    <w:p w14:paraId="20B44B86">
      <w:pPr>
        <w:pStyle w:val="28"/>
        <w:spacing w:line="360" w:lineRule="auto"/>
        <w:rPr>
          <w:rFonts w:hint="eastAsia" w:asciiTheme="minorEastAsia" w:hAnsiTheme="minorEastAsia" w:eastAsiaTheme="minorEastAsia"/>
          <w:color w:val="FF0000"/>
          <w:kern w:val="2"/>
          <w:sz w:val="21"/>
          <w:szCs w:val="21"/>
          <w:lang w:val="en-US" w:eastAsia="zh-CN"/>
        </w:rPr>
      </w:pPr>
      <w:bookmarkStart w:id="21" w:name="_GoBack"/>
      <w:r>
        <w:rPr>
          <w:rFonts w:hint="eastAsia" w:asciiTheme="minorEastAsia" w:hAnsiTheme="minorEastAsia" w:eastAsiaTheme="minorEastAsia"/>
          <w:color w:val="FF0000"/>
          <w:kern w:val="2"/>
          <w:sz w:val="21"/>
          <w:szCs w:val="21"/>
          <w:lang w:val="en-US" w:eastAsia="zh-CN"/>
        </w:rPr>
        <w:t>审核范围一致：</w:t>
      </w:r>
    </w:p>
    <w:p w14:paraId="37A61FF6">
      <w:pPr>
        <w:pStyle w:val="28"/>
        <w:spacing w:before="156" w:beforeLines="50" w:after="156" w:afterLines="50" w:line="360" w:lineRule="auto"/>
        <w:rPr>
          <w:color w:val="FF0000"/>
          <w:sz w:val="21"/>
          <w:szCs w:val="21"/>
        </w:rPr>
      </w:pPr>
      <w:r>
        <w:rPr>
          <w:color w:val="FF0000"/>
          <w:sz w:val="21"/>
          <w:szCs w:val="21"/>
        </w:rPr>
        <w:t>位于北京市朝阳区东四环中路56号楼15层1501单元1507房间北京福星祥鲤科技有限公司的预包装食品（不含冷藏冷冻食品）的销售</w:t>
      </w:r>
    </w:p>
    <w:bookmarkEnd w:id="21"/>
    <w:p w14:paraId="7DD71B97">
      <w:pPr>
        <w:pStyle w:val="28"/>
        <w:spacing w:line="360" w:lineRule="auto"/>
        <w:rPr>
          <w:rFonts w:hint="default" w:asciiTheme="minorEastAsia" w:hAnsiTheme="minorEastAsia" w:eastAsiaTheme="minorEastAsia"/>
          <w:color w:val="auto"/>
          <w:kern w:val="2"/>
          <w:sz w:val="21"/>
          <w:szCs w:val="21"/>
          <w:lang w:val="en-US" w:eastAsia="zh-CN"/>
        </w:rPr>
      </w:pPr>
    </w:p>
    <w:p w14:paraId="535AB3C5">
      <w:pPr>
        <w:pStyle w:val="28"/>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14:paraId="59AF6F78">
      <w:pPr>
        <w:spacing w:line="360" w:lineRule="auto"/>
        <w:ind w:firstLine="420" w:firstLineChars="200"/>
        <w:jc w:val="left"/>
        <w:rPr>
          <w:rFonts w:hint="eastAsia" w:asciiTheme="minorEastAsia" w:hAnsiTheme="minorEastAsia" w:eastAsiaTheme="minorEastAsia"/>
        </w:rPr>
      </w:pPr>
      <w:r>
        <w:rPr>
          <w:rFonts w:hint="eastAsia" w:asciiTheme="minorEastAsia" w:hAnsiTheme="minorEastAsia" w:eastAsiaTheme="minorEastAsia"/>
        </w:rPr>
        <w:t xml:space="preserve">注册地址： </w:t>
      </w:r>
      <w:r>
        <w:rPr>
          <w:sz w:val="21"/>
          <w:szCs w:val="21"/>
        </w:rPr>
        <w:t>北京市朝阳区东四环中路56号楼15层1501单元1507房间</w:t>
      </w:r>
    </w:p>
    <w:p w14:paraId="3A5445CE">
      <w:pPr>
        <w:spacing w:line="360" w:lineRule="auto"/>
        <w:ind w:firstLine="420" w:firstLineChars="200"/>
        <w:jc w:val="left"/>
        <w:rPr>
          <w:rFonts w:hint="eastAsia" w:asciiTheme="minorEastAsia" w:hAnsiTheme="minorEastAsia" w:eastAsiaTheme="minorEastAsia"/>
        </w:rPr>
      </w:pPr>
      <w:r>
        <w:rPr>
          <w:rFonts w:hint="eastAsia" w:asciiTheme="minorEastAsia" w:hAnsiTheme="minorEastAsia" w:eastAsiaTheme="minorEastAsia"/>
        </w:rPr>
        <w:t xml:space="preserve">办公地址： </w:t>
      </w:r>
      <w:r>
        <w:rPr>
          <w:sz w:val="21"/>
          <w:szCs w:val="21"/>
        </w:rPr>
        <w:t>北京市朝阳区东四环中路56号楼15层1501单元1507房间</w:t>
      </w:r>
    </w:p>
    <w:p w14:paraId="4E06C94D">
      <w:pPr>
        <w:spacing w:line="360" w:lineRule="auto"/>
        <w:ind w:firstLine="420" w:firstLineChars="200"/>
        <w:jc w:val="left"/>
        <w:rPr>
          <w:rFonts w:hint="eastAsia" w:asciiTheme="minorEastAsia" w:hAnsiTheme="minorEastAsia" w:eastAsiaTheme="minorEastAsia"/>
        </w:rPr>
      </w:pPr>
      <w:r>
        <w:rPr>
          <w:rFonts w:hint="eastAsia" w:asciiTheme="minorEastAsia" w:hAnsiTheme="minorEastAsia" w:eastAsiaTheme="minorEastAsia"/>
        </w:rPr>
        <w:t xml:space="preserve">经营地址： </w:t>
      </w:r>
      <w:r>
        <w:rPr>
          <w:sz w:val="21"/>
          <w:szCs w:val="21"/>
        </w:rPr>
        <w:t>北京市朝阳区东四环中路56号楼15层1501单元1507房间</w:t>
      </w:r>
    </w:p>
    <w:p w14:paraId="4DC08D41">
      <w:pPr>
        <w:pStyle w:val="28"/>
        <w:spacing w:line="360" w:lineRule="auto"/>
        <w:ind w:firstLine="420" w:firstLineChars="200"/>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临时场所（需注明其项目名称、工程性质、施工地址信息、开工和竣工时间）： 无</w:t>
      </w:r>
    </w:p>
    <w:p w14:paraId="6EF7C2F6">
      <w:pPr>
        <w:pStyle w:val="28"/>
        <w:spacing w:before="156" w:beforeLines="50" w:after="156" w:afterLines="50" w:line="360" w:lineRule="auto"/>
        <w:rPr>
          <w:rFonts w:hint="eastAsia"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14:paraId="31FF5B18">
      <w:pPr>
        <w:pStyle w:val="28"/>
        <w:spacing w:line="360" w:lineRule="auto"/>
        <w:rPr>
          <w:rFonts w:hint="eastAsia" w:cs="宋体" w:asciiTheme="minorEastAsia" w:hAnsiTheme="minorEastAsia" w:eastAsiaTheme="minorEastAsia"/>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14:paraId="2C5667C9">
      <w:pPr>
        <w:pStyle w:val="3"/>
        <w:rPr>
          <w:rFonts w:hint="eastAsia" w:cs="宋体" w:asciiTheme="minorEastAsia" w:hAnsiTheme="minorEastAsia" w:eastAsiaTheme="minorEastAsia"/>
          <w:szCs w:val="21"/>
        </w:rPr>
      </w:pPr>
      <w:r>
        <w:rPr>
          <w:rFonts w:hint="eastAsia" w:cs="宋体" w:asciiTheme="minorEastAsia" w:hAnsiTheme="minorEastAsia" w:eastAsiaTheme="minorEastAsia"/>
          <w:szCs w:val="21"/>
        </w:rPr>
        <w:t>企业有效员工</w:t>
      </w:r>
      <w:r>
        <w:rPr>
          <w:rFonts w:hint="eastAsia" w:cs="宋体" w:asciiTheme="minorEastAsia" w:hAnsiTheme="minorEastAsia" w:eastAsiaTheme="minorEastAsia"/>
          <w:szCs w:val="21"/>
          <w:lang w:val="en-US" w:eastAsia="zh-CN"/>
        </w:rPr>
        <w:t>33</w:t>
      </w:r>
      <w:r>
        <w:rPr>
          <w:rFonts w:hint="eastAsia" w:cs="宋体" w:asciiTheme="minorEastAsia" w:hAnsiTheme="minorEastAsia" w:eastAsiaTheme="minorEastAsia"/>
          <w:szCs w:val="21"/>
        </w:rPr>
        <w:t>人，其中管理人员</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人；单班工作，9:00—18:00，无倒班；</w:t>
      </w:r>
    </w:p>
    <w:p w14:paraId="09D8491D">
      <w:pPr>
        <w:pStyle w:val="3"/>
        <w:rPr>
          <w:rFonts w:hint="eastAsia" w:cs="宋体" w:asciiTheme="minorEastAsia" w:hAnsiTheme="minorEastAsia" w:eastAsiaTheme="minorEastAsia"/>
          <w:szCs w:val="21"/>
        </w:rPr>
      </w:pPr>
      <w:r>
        <w:rPr>
          <w:rFonts w:hint="eastAsia" w:cs="宋体" w:asciiTheme="minorEastAsia" w:hAnsiTheme="minorEastAsia" w:eastAsiaTheme="minorEastAsia"/>
          <w:szCs w:val="21"/>
        </w:rPr>
        <w:t>销售流程：</w:t>
      </w:r>
    </w:p>
    <w:p w14:paraId="323AB2F8">
      <w:pPr>
        <w:rPr>
          <w:rFonts w:hint="eastAsia" w:ascii="宋体" w:hAnsi="宋体"/>
        </w:rPr>
      </w:pPr>
      <w:r>
        <w:rPr>
          <w:rFonts w:hint="eastAsia"/>
        </w:rPr>
        <w:t>商</w:t>
      </w:r>
      <w:r>
        <w:rPr>
          <w:rFonts w:hint="eastAsia" w:ascii="宋体" w:hAnsi="宋体"/>
        </w:rPr>
        <w:t>城展示→客户下单→产品采购验收 (OPRP1)→供应商直接发货给客户（一件代发）→客户验收→售后服务</w:t>
      </w:r>
    </w:p>
    <w:p w14:paraId="04D982C2">
      <w:pPr>
        <w:keepNext w:val="0"/>
        <w:keepLines w:val="0"/>
        <w:suppressLineNumbers w:val="0"/>
        <w:adjustRightInd w:val="0"/>
        <w:snapToGrid w:val="0"/>
        <w:spacing w:before="0" w:beforeAutospacing="0" w:after="0" w:afterAutospacing="0"/>
        <w:ind w:left="0" w:right="0"/>
        <w:rPr>
          <w:rFonts w:hint="default" w:ascii="宋体" w:hAnsi="宋体" w:eastAsia="宋体" w:cs="宋体"/>
          <w:bCs/>
          <w:szCs w:val="21"/>
          <w:lang w:val="en-US" w:eastAsia="zh-CN"/>
        </w:rPr>
      </w:pPr>
      <w:r>
        <w:rPr>
          <w:rFonts w:hint="eastAsia"/>
        </w:rPr>
        <w:t>外包过程：物业</w:t>
      </w:r>
      <w:r>
        <w:rPr>
          <w:rFonts w:hint="eastAsia"/>
          <w:lang w:eastAsia="zh-CN"/>
        </w:rPr>
        <w:t>、</w:t>
      </w:r>
      <w:r>
        <w:rPr>
          <w:rFonts w:hint="eastAsia" w:ascii="宋体" w:hAnsi="宋体" w:cs="宋体"/>
          <w:bCs/>
          <w:szCs w:val="21"/>
          <w:lang w:val="en-US" w:eastAsia="zh-CN"/>
        </w:rPr>
        <w:t>供方结算API平台搭建</w:t>
      </w:r>
    </w:p>
    <w:p w14:paraId="7D6CD271">
      <w:pPr>
        <w:adjustRightInd w:val="0"/>
        <w:snapToGrid w:val="0"/>
        <w:rPr>
          <w:rFonts w:hint="eastAsia" w:eastAsia="宋体"/>
          <w:lang w:eastAsia="zh-CN"/>
        </w:rPr>
      </w:pPr>
    </w:p>
    <w:p w14:paraId="055F0294">
      <w:pPr>
        <w:pStyle w:val="15"/>
      </w:pPr>
      <w:r>
        <w:rPr>
          <w:rFonts w:hint="eastAsia"/>
        </w:rPr>
        <w:t>无不适用条款</w:t>
      </w:r>
    </w:p>
    <w:p w14:paraId="28F2AA14">
      <w:pPr>
        <w:pStyle w:val="28"/>
        <w:spacing w:after="156" w:afterLines="50" w:line="360" w:lineRule="auto"/>
        <w:rPr>
          <w:rFonts w:hint="eastAsia"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14:paraId="1552B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14:paraId="00739198">
            <w:pPr>
              <w:autoSpaceDE w:val="0"/>
              <w:autoSpaceDN w:val="0"/>
              <w:adjustRightInd w:val="0"/>
              <w:spacing w:line="360" w:lineRule="auto"/>
              <w:jc w:val="left"/>
              <w:rPr>
                <w:rFonts w:hint="eastAsia"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14:paraId="6CA51CE7">
            <w:pPr>
              <w:spacing w:line="360" w:lineRule="auto"/>
              <w:jc w:val="left"/>
              <w:rPr>
                <w:rFonts w:hint="eastAsia" w:asciiTheme="minorEastAsia" w:hAnsiTheme="minorEastAsia" w:eastAsiaTheme="minorEastAsia"/>
                <w:b/>
                <w:szCs w:val="21"/>
              </w:rPr>
            </w:pPr>
            <w:r>
              <w:rPr>
                <w:rFonts w:hint="eastAsia" w:asciiTheme="minorEastAsia" w:hAnsiTheme="minorEastAsia" w:eastAsiaTheme="minorEastAsia"/>
                <w:b/>
                <w:szCs w:val="21"/>
              </w:rPr>
              <w:t>符合性判断</w:t>
            </w:r>
          </w:p>
        </w:tc>
      </w:tr>
      <w:tr w14:paraId="2AC70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22019CEB">
            <w:pPr>
              <w:autoSpaceDE w:val="0"/>
              <w:autoSpaceDN w:val="0"/>
              <w:adjustRightInd w:val="0"/>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14:paraId="32EDA0F7">
            <w:pPr>
              <w:spacing w:line="360" w:lineRule="auto"/>
              <w:jc w:val="left"/>
              <w:rPr>
                <w:rFonts w:hint="eastAsia"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6144E30B">
            <w:pPr>
              <w:spacing w:line="360" w:lineRule="auto"/>
              <w:jc w:val="left"/>
              <w:rPr>
                <w:rFonts w:hint="eastAsia" w:asciiTheme="minorEastAsia" w:hAnsiTheme="minorEastAsia" w:eastAsiaTheme="minorEastAsia"/>
                <w:szCs w:val="21"/>
              </w:rPr>
            </w:pPr>
            <w:r>
              <w:rPr>
                <w:rFonts w:hint="eastAsia" w:cs="宋体" w:asciiTheme="minorEastAsia" w:hAnsiTheme="minorEastAsia" w:eastAsiaTheme="minorEastAsia"/>
                <w:szCs w:val="21"/>
              </w:rPr>
              <w:t>□否</w:t>
            </w:r>
          </w:p>
        </w:tc>
      </w:tr>
      <w:tr w14:paraId="62456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30C40137">
            <w:pPr>
              <w:autoSpaceDE w:val="0"/>
              <w:autoSpaceDN w:val="0"/>
              <w:adjustRightInd w:val="0"/>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14:paraId="6A6F57AC">
            <w:pPr>
              <w:spacing w:line="360" w:lineRule="auto"/>
              <w:jc w:val="left"/>
              <w:rPr>
                <w:rFonts w:hint="eastAsia"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4C834045">
            <w:pPr>
              <w:spacing w:line="360" w:lineRule="auto"/>
              <w:jc w:val="left"/>
              <w:rPr>
                <w:rFonts w:hint="eastAsia" w:asciiTheme="minorEastAsia" w:hAnsiTheme="minorEastAsia" w:eastAsiaTheme="minorEastAsia"/>
                <w:szCs w:val="21"/>
              </w:rPr>
            </w:pPr>
            <w:r>
              <w:rPr>
                <w:rFonts w:hint="eastAsia" w:cs="宋体" w:asciiTheme="minorEastAsia" w:hAnsiTheme="minorEastAsia" w:eastAsiaTheme="minorEastAsia"/>
                <w:szCs w:val="21"/>
              </w:rPr>
              <w:t>□否</w:t>
            </w:r>
          </w:p>
        </w:tc>
      </w:tr>
      <w:tr w14:paraId="22321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1BBEB4D4">
            <w:pPr>
              <w:autoSpaceDE w:val="0"/>
              <w:autoSpaceDN w:val="0"/>
              <w:adjustRightInd w:val="0"/>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14:paraId="7E2BE99A">
            <w:pPr>
              <w:spacing w:line="360" w:lineRule="auto"/>
              <w:jc w:val="left"/>
              <w:rPr>
                <w:rFonts w:hint="eastAsia"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75ADA8CF">
            <w:pPr>
              <w:spacing w:line="360" w:lineRule="auto"/>
              <w:jc w:val="left"/>
              <w:rPr>
                <w:rFonts w:hint="eastAsia" w:asciiTheme="minorEastAsia" w:hAnsiTheme="minorEastAsia" w:eastAsiaTheme="minorEastAsia"/>
                <w:szCs w:val="21"/>
              </w:rPr>
            </w:pPr>
            <w:r>
              <w:rPr>
                <w:rFonts w:hint="eastAsia" w:cs="宋体" w:asciiTheme="minorEastAsia" w:hAnsiTheme="minorEastAsia" w:eastAsiaTheme="minorEastAsia"/>
                <w:szCs w:val="21"/>
              </w:rPr>
              <w:t>□否</w:t>
            </w:r>
          </w:p>
        </w:tc>
      </w:tr>
      <w:tr w14:paraId="43D47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7652AD7D">
            <w:pPr>
              <w:autoSpaceDE w:val="0"/>
              <w:autoSpaceDN w:val="0"/>
              <w:adjustRightInd w:val="0"/>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14:paraId="5CD686E6">
            <w:pPr>
              <w:spacing w:line="360" w:lineRule="auto"/>
              <w:jc w:val="left"/>
              <w:rPr>
                <w:rFonts w:hint="eastAsia"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2D021460">
            <w:pPr>
              <w:spacing w:line="360" w:lineRule="auto"/>
              <w:jc w:val="left"/>
              <w:rPr>
                <w:rFonts w:hint="eastAsia" w:asciiTheme="minorEastAsia" w:hAnsiTheme="minorEastAsia" w:eastAsiaTheme="minorEastAsia"/>
                <w:szCs w:val="21"/>
              </w:rPr>
            </w:pPr>
            <w:r>
              <w:rPr>
                <w:rFonts w:hint="eastAsia" w:cs="宋体" w:asciiTheme="minorEastAsia" w:hAnsiTheme="minorEastAsia" w:eastAsiaTheme="minorEastAsia"/>
                <w:szCs w:val="21"/>
              </w:rPr>
              <w:t>□否</w:t>
            </w:r>
          </w:p>
        </w:tc>
      </w:tr>
      <w:tr w14:paraId="6B42B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4852758F">
            <w:pPr>
              <w:autoSpaceDE w:val="0"/>
              <w:autoSpaceDN w:val="0"/>
              <w:adjustRightInd w:val="0"/>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14:paraId="1E74D95A">
            <w:pPr>
              <w:spacing w:line="360" w:lineRule="auto"/>
              <w:jc w:val="left"/>
              <w:rPr>
                <w:rFonts w:hint="eastAsia"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03C3027A">
            <w:pPr>
              <w:spacing w:line="360" w:lineRule="auto"/>
              <w:jc w:val="left"/>
              <w:rPr>
                <w:rFonts w:hint="eastAsia" w:asciiTheme="minorEastAsia" w:hAnsiTheme="minorEastAsia" w:eastAsiaTheme="minorEastAsia"/>
                <w:szCs w:val="21"/>
              </w:rPr>
            </w:pPr>
            <w:r>
              <w:rPr>
                <w:rFonts w:hint="eastAsia" w:cs="宋体" w:asciiTheme="minorEastAsia" w:hAnsiTheme="minorEastAsia" w:eastAsiaTheme="minorEastAsia"/>
                <w:szCs w:val="21"/>
              </w:rPr>
              <w:t>□否</w:t>
            </w:r>
          </w:p>
        </w:tc>
      </w:tr>
      <w:tr w14:paraId="0083E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7AB2345B">
            <w:pPr>
              <w:autoSpaceDE w:val="0"/>
              <w:autoSpaceDN w:val="0"/>
              <w:adjustRightInd w:val="0"/>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14:paraId="218F6E3D">
            <w:pPr>
              <w:spacing w:line="360" w:lineRule="auto"/>
              <w:jc w:val="left"/>
              <w:rPr>
                <w:rFonts w:hint="eastAsia"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684D249">
            <w:pPr>
              <w:spacing w:line="360" w:lineRule="auto"/>
              <w:jc w:val="left"/>
              <w:rPr>
                <w:rFonts w:hint="eastAsia" w:asciiTheme="minorEastAsia" w:hAnsiTheme="minorEastAsia" w:eastAsiaTheme="minorEastAsia"/>
                <w:szCs w:val="21"/>
              </w:rPr>
            </w:pPr>
            <w:r>
              <w:rPr>
                <w:rFonts w:hint="eastAsia" w:cs="宋体" w:asciiTheme="minorEastAsia" w:hAnsiTheme="minorEastAsia" w:eastAsiaTheme="minorEastAsia"/>
                <w:szCs w:val="21"/>
              </w:rPr>
              <w:t>□否</w:t>
            </w:r>
          </w:p>
        </w:tc>
      </w:tr>
      <w:tr w14:paraId="6F980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6095FE13">
            <w:pPr>
              <w:autoSpaceDE w:val="0"/>
              <w:autoSpaceDN w:val="0"/>
              <w:adjustRightInd w:val="0"/>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14:paraId="7541045A">
            <w:pPr>
              <w:spacing w:line="360" w:lineRule="auto"/>
              <w:jc w:val="left"/>
              <w:rPr>
                <w:rFonts w:hint="eastAsia"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5A50FA1D">
            <w:pPr>
              <w:spacing w:line="360" w:lineRule="auto"/>
              <w:jc w:val="left"/>
              <w:rPr>
                <w:rFonts w:hint="eastAsia" w:asciiTheme="minorEastAsia" w:hAnsiTheme="minorEastAsia" w:eastAsiaTheme="minorEastAsia"/>
                <w:szCs w:val="21"/>
              </w:rPr>
            </w:pPr>
            <w:r>
              <w:rPr>
                <w:rFonts w:hint="eastAsia" w:cs="宋体" w:asciiTheme="minorEastAsia" w:hAnsiTheme="minorEastAsia" w:eastAsiaTheme="minorEastAsia"/>
                <w:szCs w:val="21"/>
              </w:rPr>
              <w:t>□否</w:t>
            </w:r>
          </w:p>
        </w:tc>
      </w:tr>
    </w:tbl>
    <w:p w14:paraId="36B01FC1">
      <w:pPr>
        <w:spacing w:line="360" w:lineRule="auto"/>
        <w:jc w:val="left"/>
        <w:rPr>
          <w:rFonts w:hint="eastAsia" w:asciiTheme="minorEastAsia" w:hAnsiTheme="minorEastAsia" w:eastAsiaTheme="minorEastAsia"/>
          <w:b/>
          <w:szCs w:val="21"/>
        </w:rPr>
      </w:pPr>
    </w:p>
    <w:p w14:paraId="1DBEFCF7">
      <w:pPr>
        <w:pStyle w:val="28"/>
        <w:numPr>
          <w:ilvl w:val="0"/>
          <w:numId w:val="1"/>
        </w:numPr>
        <w:spacing w:before="156" w:beforeLines="50" w:after="156" w:afterLines="50" w:line="360" w:lineRule="auto"/>
        <w:rPr>
          <w:rFonts w:hint="eastAsia"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14:paraId="42FB5F01">
      <w:pPr>
        <w:spacing w:line="360" w:lineRule="auto"/>
        <w:ind w:left="5"/>
        <w:jc w:val="left"/>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14:paraId="407889F2">
      <w:pPr>
        <w:spacing w:line="276" w:lineRule="auto"/>
        <w:jc w:val="left"/>
        <w:rPr>
          <w:rFonts w:hint="eastAsia" w:asciiTheme="minorEastAsia" w:hAnsiTheme="minorEastAsia" w:eastAsiaTheme="minorEastAsia"/>
          <w:szCs w:val="21"/>
        </w:rPr>
      </w:pPr>
      <w:r>
        <w:rPr>
          <w:rFonts w:ascii="宋体" w:hAnsi="宋体"/>
          <w:szCs w:val="21"/>
        </w:rPr>
        <w:t>设置了</w:t>
      </w:r>
      <w:r>
        <w:rPr>
          <w:rFonts w:hint="eastAsia" w:ascii="宋体" w:hAnsi="宋体"/>
          <w:szCs w:val="21"/>
          <w:lang w:val="en-US" w:eastAsia="zh-CN"/>
        </w:rPr>
        <w:t>人力</w:t>
      </w:r>
      <w:r>
        <w:rPr>
          <w:rFonts w:ascii="宋体" w:hAnsi="宋体"/>
          <w:szCs w:val="21"/>
        </w:rPr>
        <w:t>行政部</w:t>
      </w:r>
      <w:r>
        <w:rPr>
          <w:rFonts w:hint="eastAsia" w:ascii="宋体" w:hAnsi="宋体"/>
          <w:szCs w:val="21"/>
        </w:rPr>
        <w:t>、</w:t>
      </w:r>
      <w:r>
        <w:rPr>
          <w:rFonts w:hint="eastAsia" w:ascii="宋体" w:hAnsi="宋体"/>
          <w:szCs w:val="21"/>
          <w:lang w:eastAsia="zh-CN"/>
        </w:rPr>
        <w:t>销售部、</w:t>
      </w:r>
      <w:r>
        <w:rPr>
          <w:rFonts w:hint="eastAsia" w:ascii="宋体" w:hAnsi="宋体"/>
          <w:szCs w:val="21"/>
          <w:lang w:val="en-US" w:eastAsia="zh-CN"/>
        </w:rPr>
        <w:t>产品运营部</w:t>
      </w:r>
      <w:r>
        <w:rPr>
          <w:rFonts w:ascii="宋体" w:hAnsi="宋体"/>
          <w:szCs w:val="21"/>
        </w:rPr>
        <w:t>等部门</w:t>
      </w:r>
      <w:r>
        <w:rPr>
          <w:rFonts w:hint="eastAsia" w:ascii="宋体" w:hAnsi="宋体"/>
          <w:szCs w:val="21"/>
        </w:rPr>
        <w:t>；</w:t>
      </w:r>
      <w:r>
        <w:rPr>
          <w:rStyle w:val="33"/>
          <w:rFonts w:hint="default"/>
          <w:szCs w:val="21"/>
        </w:rPr>
        <w:t>根据工作需求配置人员，明确职责和权限，通过学习、培训、会议、文件或网络等各种形式进行了内外沟通，以确保各层次和职能相互了解清楚，便于相互协调和配合。</w:t>
      </w:r>
    </w:p>
    <w:p w14:paraId="6B50E7EC">
      <w:pPr>
        <w:adjustRightInd w:val="0"/>
        <w:snapToGrid w:val="0"/>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14:paraId="19DE2EDD">
      <w:pPr>
        <w:spacing w:line="276" w:lineRule="auto"/>
        <w:jc w:val="left"/>
        <w:rPr>
          <w:rStyle w:val="33"/>
          <w:rFonts w:hint="default"/>
          <w:szCs w:val="21"/>
        </w:rPr>
      </w:pPr>
      <w:r>
        <w:rPr>
          <w:rStyle w:val="33"/>
          <w:rFonts w:hint="default"/>
          <w:szCs w:val="21"/>
        </w:rPr>
        <w:t>公司根据</w:t>
      </w:r>
      <w:r>
        <w:rPr>
          <w:rFonts w:asciiTheme="minorEastAsia" w:hAnsiTheme="minorEastAsia" w:eastAsiaTheme="minorEastAsia"/>
          <w:szCs w:val="21"/>
        </w:rPr>
        <w:t>ISO 22000:2018</w:t>
      </w:r>
      <w:r>
        <w:rPr>
          <w:rStyle w:val="33"/>
          <w:rFonts w:hint="default"/>
          <w:szCs w:val="21"/>
        </w:rPr>
        <w:t xml:space="preserve">标准和实际，编制了管理管理体系文件，包括：形成文件的管理方针和管理目标 </w:t>
      </w:r>
      <w:r>
        <w:rPr>
          <w:rStyle w:val="33"/>
          <w:szCs w:val="21"/>
        </w:rPr>
        <w:t>、</w:t>
      </w:r>
      <w:r>
        <w:rPr>
          <w:rStyle w:val="33"/>
          <w:rFonts w:hint="default"/>
          <w:szCs w:val="21"/>
        </w:rPr>
        <w:t>《管理手册》</w:t>
      </w:r>
      <w:r>
        <w:rPr>
          <w:rStyle w:val="33"/>
          <w:szCs w:val="21"/>
        </w:rPr>
        <w:t>、</w:t>
      </w:r>
      <w:r>
        <w:rPr>
          <w:rStyle w:val="33"/>
          <w:rFonts w:hint="default"/>
          <w:szCs w:val="21"/>
        </w:rPr>
        <w:t>《程序文件》</w:t>
      </w:r>
      <w:r>
        <w:rPr>
          <w:rStyle w:val="33"/>
          <w:szCs w:val="21"/>
        </w:rPr>
        <w:t>；</w:t>
      </w:r>
      <w:r>
        <w:rPr>
          <w:rStyle w:val="33"/>
          <w:rFonts w:hint="default"/>
          <w:szCs w:val="21"/>
        </w:rPr>
        <w:t>为确保管理体系过程的有效策划、运行和控制的文件等</w:t>
      </w:r>
      <w:r>
        <w:rPr>
          <w:rStyle w:val="33"/>
          <w:szCs w:val="21"/>
        </w:rPr>
        <w:t>；</w:t>
      </w:r>
      <w:r>
        <w:rPr>
          <w:rStyle w:val="33"/>
          <w:rFonts w:hint="default"/>
          <w:szCs w:val="21"/>
        </w:rPr>
        <w:t>为提供符合要求及管理体系有效运行的证据而建立的记录，包括标准所要求的记录。</w:t>
      </w:r>
    </w:p>
    <w:p w14:paraId="7BB89DF0">
      <w:pPr>
        <w:pStyle w:val="15"/>
        <w:rPr>
          <w:rFonts w:hint="eastAsia" w:asciiTheme="minorEastAsia" w:hAnsiTheme="minorEastAsia" w:eastAsiaTheme="minorEastAsia"/>
          <w:szCs w:val="21"/>
        </w:rPr>
      </w:pPr>
      <w:r>
        <w:rPr>
          <w:rStyle w:val="33"/>
          <w:rFonts w:hint="default"/>
          <w:szCs w:val="21"/>
        </w:rPr>
        <w:t>识别销售服务和产品适用标准，通过文件审核和现场审核确认，《管理手册》等符合标准要求、法律法规和企业实际，基本具有可操作性。</w:t>
      </w:r>
    </w:p>
    <w:p w14:paraId="748FEF3A">
      <w:pPr>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14:paraId="50D98BC4">
      <w:pPr>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食品安全法、ISO 22000:2018、GB 31621-2014 《食品安全国家标准 食品经营过程卫生规范》</w:t>
      </w:r>
    </w:p>
    <w:p w14:paraId="44D3B63E">
      <w:pPr>
        <w:pStyle w:val="15"/>
        <w:rPr>
          <w:rFonts w:hint="eastAsia" w:asciiTheme="minorEastAsia" w:hAnsiTheme="minorEastAsia"/>
          <w:szCs w:val="21"/>
        </w:rPr>
      </w:pPr>
      <w:r>
        <w:rPr>
          <w:rFonts w:hint="eastAsia"/>
        </w:rPr>
        <w:t>GB 2762-2022 《食品安全国家标准 食品污染物限量》、GB 7718-2011《食品安全国家标准 预包装食品标签通则》等</w:t>
      </w:r>
    </w:p>
    <w:p w14:paraId="090352C7">
      <w:pPr>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14:paraId="03695E95">
      <w:pPr>
        <w:pStyle w:val="15"/>
      </w:pPr>
      <w:r>
        <w:rPr>
          <w:rFonts w:hint="eastAsia" w:ascii="宋体" w:hAnsi="宋体"/>
          <w:szCs w:val="21"/>
        </w:rPr>
        <w:t>公司基本情况：</w:t>
      </w:r>
      <w:r>
        <w:rPr>
          <w:rFonts w:hint="eastAsia"/>
          <w:szCs w:val="21"/>
        </w:rPr>
        <w:t>北京</w:t>
      </w:r>
      <w:r>
        <w:rPr>
          <w:rFonts w:hint="eastAsia"/>
          <w:szCs w:val="21"/>
          <w:lang w:val="en-US" w:eastAsia="zh-CN"/>
        </w:rPr>
        <w:t>福星祥鲤科技</w:t>
      </w:r>
      <w:r>
        <w:rPr>
          <w:szCs w:val="21"/>
        </w:rPr>
        <w:t>有限公司</w:t>
      </w:r>
      <w:r>
        <w:rPr>
          <w:rFonts w:hint="eastAsia" w:ascii="宋体" w:hAnsi="宋体" w:cs="宋体"/>
          <w:szCs w:val="21"/>
        </w:rPr>
        <w:t>成立于2018年3月1</w:t>
      </w:r>
      <w:r>
        <w:rPr>
          <w:rFonts w:hint="eastAsia" w:ascii="宋体" w:hAnsi="宋体" w:cs="宋体"/>
          <w:szCs w:val="21"/>
          <w:lang w:val="en-US" w:eastAsia="zh-CN"/>
        </w:rPr>
        <w:t>2</w:t>
      </w:r>
      <w:r>
        <w:rPr>
          <w:rFonts w:hint="eastAsia" w:ascii="宋体" w:hAnsi="宋体" w:cs="宋体"/>
          <w:szCs w:val="21"/>
        </w:rPr>
        <w:t>日</w:t>
      </w:r>
      <w:r>
        <w:rPr>
          <w:rFonts w:hint="eastAsia" w:ascii="宋体" w:hAnsi="宋体"/>
          <w:szCs w:val="21"/>
        </w:rPr>
        <w:t>，法定代表人为</w:t>
      </w:r>
      <w:r>
        <w:rPr>
          <w:rFonts w:hint="eastAsia" w:ascii="宋体" w:hAnsi="宋体"/>
          <w:szCs w:val="21"/>
          <w:lang w:val="en-US" w:eastAsia="zh-CN"/>
        </w:rPr>
        <w:t>赵立娟</w:t>
      </w:r>
      <w:r>
        <w:rPr>
          <w:rFonts w:hint="eastAsia" w:ascii="宋体" w:hAnsi="宋体"/>
          <w:szCs w:val="21"/>
        </w:rPr>
        <w:t>，统一社会信用代码为91110106MA01APDG4A，企业注册地址位于</w:t>
      </w:r>
      <w:r>
        <w:rPr>
          <w:rFonts w:hint="eastAsia"/>
          <w:szCs w:val="21"/>
        </w:rPr>
        <w:t>北京市朝阳区东四环中路56号楼15层1501单元150</w:t>
      </w:r>
      <w:r>
        <w:rPr>
          <w:rFonts w:hint="eastAsia"/>
          <w:szCs w:val="21"/>
          <w:lang w:val="en-US" w:eastAsia="zh-CN"/>
        </w:rPr>
        <w:t>7</w:t>
      </w:r>
      <w:r>
        <w:rPr>
          <w:rFonts w:hint="eastAsia"/>
          <w:szCs w:val="21"/>
        </w:rPr>
        <w:t>房间</w:t>
      </w:r>
      <w:r>
        <w:rPr>
          <w:rFonts w:hint="eastAsia" w:ascii="宋体" w:hAnsi="宋体"/>
          <w:szCs w:val="21"/>
        </w:rPr>
        <w:t>，经营范围 许可项目:食品生产:食品销售:出版物零售:网络文化经营:第二类增值电信业务:互联网信息服务:烟草制品零售:民用航空器零部件设计和生产，(依法须经批准的项目，经相关部门批准后方可开展经营活动，具体经营项目以相关部门批准文件或许可证件为准)(不得从事国家和本市产业政策禁止和限制类项目的经营活动。)。组织目前销售的预包装食品有糕点、坚果、牛奶、饮料、米、面、食用油等，经营方式主要是利用企业自主研发的微信公众号、小程序、网站为机关单位、企事业单位提供员工福利。组织与企事业单位签订员工福利发放合同，企事业员工得到福利兑换积分，用积分在组织的微信公众号、小程序、网站进行兑换，组织供方通过API进行后台链接，获取订单信息，进行发货配送。组织依托福星祥鲤品牌，已为多家企事业单位员工提供福利兑换服务。</w:t>
      </w:r>
      <w:r>
        <w:t xml:space="preserve"> </w:t>
      </w:r>
    </w:p>
    <w:p w14:paraId="7C5E3000">
      <w:pPr>
        <w:spacing w:line="276" w:lineRule="auto"/>
        <w:jc w:val="left"/>
        <w:rPr>
          <w:rFonts w:hint="eastAsia" w:ascii="宋体" w:hAnsi="宋体" w:cs="宋体"/>
          <w:szCs w:val="21"/>
        </w:rPr>
      </w:pPr>
      <w:r>
        <w:rPr>
          <w:rFonts w:hint="eastAsia" w:ascii="宋体" w:hAnsi="宋体" w:cs="宋体"/>
          <w:szCs w:val="21"/>
        </w:rPr>
        <w:t>组织的规模情况/资源配置情况：租赁</w:t>
      </w:r>
      <w:r>
        <w:rPr>
          <w:rFonts w:hint="eastAsia"/>
          <w:szCs w:val="21"/>
        </w:rPr>
        <w:t>北京市朝阳区东四环中路56号楼15层1501单元150</w:t>
      </w:r>
      <w:r>
        <w:rPr>
          <w:rFonts w:hint="eastAsia"/>
          <w:szCs w:val="21"/>
          <w:lang w:val="en-US" w:eastAsia="zh-CN"/>
        </w:rPr>
        <w:t>7</w:t>
      </w:r>
      <w:r>
        <w:rPr>
          <w:rFonts w:hint="eastAsia"/>
          <w:szCs w:val="21"/>
        </w:rPr>
        <w:t>房间为办公场所</w:t>
      </w:r>
      <w:r>
        <w:rPr>
          <w:rFonts w:hint="eastAsia" w:ascii="宋体" w:hAnsi="宋体" w:cs="宋体"/>
          <w:szCs w:val="21"/>
        </w:rPr>
        <w:t>，有租赁合同，出租方：远洋控股集团（中国）有限公司北京房地产经营管理分公司；承租方：</w:t>
      </w:r>
      <w:r>
        <w:rPr>
          <w:rFonts w:hint="eastAsia"/>
          <w:szCs w:val="21"/>
        </w:rPr>
        <w:t>北京福星祥鲤科技有限公司；租赁</w:t>
      </w:r>
      <w:r>
        <w:rPr>
          <w:rFonts w:hint="eastAsia" w:ascii="宋体" w:hAnsi="宋体" w:cs="宋体"/>
          <w:szCs w:val="21"/>
        </w:rPr>
        <w:t>面积：</w:t>
      </w:r>
      <w:r>
        <w:rPr>
          <w:rFonts w:hint="eastAsia" w:ascii="宋体" w:hAnsi="宋体" w:cs="宋体"/>
          <w:szCs w:val="21"/>
          <w:lang w:val="en-US" w:eastAsia="zh-CN"/>
        </w:rPr>
        <w:t>500</w:t>
      </w:r>
      <w:r>
        <w:rPr>
          <w:rFonts w:hint="eastAsia" w:ascii="宋体" w:hAnsi="宋体" w:cs="宋体"/>
          <w:szCs w:val="21"/>
        </w:rPr>
        <w:t>.8㎡</w:t>
      </w:r>
      <w:r>
        <w:rPr>
          <w:rFonts w:hint="eastAsia" w:ascii="宋体" w:hAnsi="宋体" w:cs="宋体"/>
          <w:szCs w:val="21"/>
          <w:lang w:eastAsia="zh-CN"/>
        </w:rPr>
        <w:t>（</w:t>
      </w:r>
      <w:r>
        <w:rPr>
          <w:rFonts w:hint="eastAsia" w:ascii="宋体" w:hAnsi="宋体" w:cs="宋体"/>
          <w:szCs w:val="21"/>
          <w:lang w:val="en-US" w:eastAsia="zh-CN"/>
        </w:rPr>
        <w:t>其中150平方米转租给国中好货</w:t>
      </w:r>
      <w:r>
        <w:rPr>
          <w:rFonts w:hint="eastAsia" w:ascii="宋体" w:hAnsi="宋体" w:cs="宋体"/>
          <w:szCs w:val="21"/>
          <w:lang w:eastAsia="zh-CN"/>
        </w:rPr>
        <w:t>）</w:t>
      </w:r>
      <w:r>
        <w:rPr>
          <w:rFonts w:hint="eastAsia" w:ascii="宋体" w:hAnsi="宋体" w:cs="宋体"/>
          <w:szCs w:val="21"/>
        </w:rPr>
        <w:t>；无仓库；</w:t>
      </w:r>
    </w:p>
    <w:p w14:paraId="446460D8">
      <w:pPr>
        <w:pStyle w:val="15"/>
        <w:rPr>
          <w:rFonts w:hint="eastAsia" w:asciiTheme="minorEastAsia" w:hAnsiTheme="minorEastAsia" w:eastAsiaTheme="minorEastAsia"/>
          <w:szCs w:val="21"/>
        </w:rPr>
      </w:pPr>
      <w:r>
        <w:rPr>
          <w:rFonts w:hint="eastAsia" w:ascii="宋体" w:hAnsi="宋体" w:cs="宋体"/>
          <w:szCs w:val="21"/>
        </w:rPr>
        <w:t>销售设备：打印机、电脑、电话、网络等支持性设备</w:t>
      </w:r>
      <w:r>
        <w:rPr>
          <w:rFonts w:hint="eastAsia" w:asciiTheme="minorEastAsia" w:hAnsiTheme="minorEastAsia" w:eastAsiaTheme="minorEastAsia"/>
          <w:szCs w:val="21"/>
        </w:rPr>
        <w:t>；</w:t>
      </w:r>
    </w:p>
    <w:p w14:paraId="59E40739">
      <w:pPr>
        <w:spacing w:line="300" w:lineRule="exact"/>
        <w:rPr>
          <w:rFonts w:hint="eastAsia" w:ascii="宋体" w:hAnsi="宋体" w:cs="宋体"/>
          <w:bCs/>
          <w:szCs w:val="21"/>
        </w:rPr>
      </w:pPr>
      <w:r>
        <w:rPr>
          <w:rFonts w:hint="eastAsia" w:ascii="宋体" w:hAnsi="宋体" w:cs="宋体"/>
          <w:bCs/>
          <w:szCs w:val="21"/>
        </w:rPr>
        <w:t>检测设备：不涉及</w:t>
      </w:r>
    </w:p>
    <w:p w14:paraId="1BF5FDDC">
      <w:pPr>
        <w:pStyle w:val="15"/>
      </w:pPr>
      <w:r>
        <w:rPr>
          <w:rFonts w:hint="eastAsia" w:ascii="宋体" w:hAnsi="宋体" w:cs="宋体"/>
          <w:szCs w:val="21"/>
        </w:rPr>
        <w:t>特种设备：不涉及</w:t>
      </w:r>
    </w:p>
    <w:p w14:paraId="41D0CD8F">
      <w:pPr>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14:paraId="47AE7AC1">
      <w:pPr>
        <w:jc w:val="left"/>
        <w:rPr>
          <w:rFonts w:hint="eastAsia" w:ascii="宋体" w:hAnsi="宋体"/>
          <w:szCs w:val="21"/>
        </w:rPr>
      </w:pPr>
      <w:r>
        <w:rPr>
          <w:rFonts w:hint="eastAsia" w:ascii="宋体" w:hAnsi="宋体"/>
          <w:szCs w:val="21"/>
        </w:rPr>
        <w:t xml:space="preserve">食品安全方针： </w:t>
      </w:r>
    </w:p>
    <w:p w14:paraId="55A4FE9D">
      <w:pPr>
        <w:jc w:val="left"/>
        <w:rPr>
          <w:rFonts w:hint="eastAsia" w:ascii="宋体" w:hAnsi="宋体"/>
          <w:szCs w:val="21"/>
          <w:lang w:eastAsia="zh-CN"/>
        </w:rPr>
      </w:pPr>
      <w:r>
        <w:rPr>
          <w:rFonts w:hint="eastAsia" w:ascii="宋体" w:hAnsi="宋体"/>
          <w:szCs w:val="21"/>
          <w:lang w:eastAsia="zh-CN"/>
        </w:rPr>
        <w:t>控制食品危害，保障食品安全；完善管理体系，提供放心食品；追求客户满意，持续改进服务”</w:t>
      </w:r>
    </w:p>
    <w:p w14:paraId="0817D1FB">
      <w:pPr>
        <w:adjustRightInd w:val="0"/>
        <w:textAlignment w:val="baseline"/>
        <w:rPr>
          <w:bCs/>
        </w:rPr>
      </w:pPr>
    </w:p>
    <w:p w14:paraId="490AF011">
      <w:pPr>
        <w:adjustRightInd w:val="0"/>
        <w:textAlignment w:val="baseline"/>
        <w:rPr>
          <w:rFonts w:hint="eastAsia" w:ascii="宋体" w:hAnsi="宋体"/>
          <w:kern w:val="0"/>
          <w:szCs w:val="21"/>
        </w:rPr>
      </w:pPr>
      <w:r>
        <w:rPr>
          <w:rFonts w:hint="eastAsia" w:ascii="宋体" w:hAnsi="宋体"/>
          <w:kern w:val="0"/>
          <w:szCs w:val="21"/>
        </w:rPr>
        <w:t>总目标：</w:t>
      </w:r>
    </w:p>
    <w:p w14:paraId="0CE06A38">
      <w:pPr>
        <w:adjustRightInd w:val="0"/>
        <w:textAlignment w:val="baseline"/>
        <w:rPr>
          <w:bCs/>
          <w:szCs w:val="24"/>
        </w:rPr>
      </w:pPr>
      <w:r>
        <w:rPr>
          <w:rFonts w:hint="eastAsia"/>
          <w:bCs/>
          <w:szCs w:val="24"/>
        </w:rPr>
        <w:t>顾客投诉处理率</w:t>
      </w:r>
      <w:r>
        <w:rPr>
          <w:bCs/>
          <w:szCs w:val="24"/>
        </w:rPr>
        <w:t xml:space="preserve"> 100%  </w:t>
      </w:r>
    </w:p>
    <w:p w14:paraId="18578BE3">
      <w:pPr>
        <w:adjustRightInd w:val="0"/>
        <w:textAlignment w:val="baseline"/>
        <w:rPr>
          <w:rFonts w:hint="eastAsia" w:ascii="宋体" w:hAnsi="宋体"/>
          <w:kern w:val="0"/>
          <w:szCs w:val="21"/>
        </w:rPr>
      </w:pPr>
      <w:r>
        <w:rPr>
          <w:rFonts w:hint="eastAsia"/>
          <w:bCs/>
          <w:szCs w:val="24"/>
        </w:rPr>
        <w:t>食品安全事故</w:t>
      </w:r>
      <w:r>
        <w:rPr>
          <w:bCs/>
          <w:szCs w:val="24"/>
        </w:rPr>
        <w:t xml:space="preserve">  0</w:t>
      </w:r>
      <w:r>
        <w:rPr>
          <w:rFonts w:hint="eastAsia"/>
          <w:bCs/>
          <w:szCs w:val="24"/>
        </w:rPr>
        <w:t>次</w:t>
      </w:r>
    </w:p>
    <w:p w14:paraId="51F89559">
      <w:pPr>
        <w:spacing w:line="360" w:lineRule="auto"/>
        <w:jc w:val="left"/>
        <w:rPr>
          <w:rFonts w:hint="eastAsia"/>
          <w:bCs/>
          <w:szCs w:val="24"/>
        </w:rPr>
      </w:pPr>
      <w:r>
        <w:rPr>
          <w:rFonts w:hint="eastAsia" w:ascii="宋体" w:hAnsi="宋体"/>
          <w:kern w:val="0"/>
          <w:szCs w:val="21"/>
        </w:rPr>
        <w:t xml:space="preserve"> </w:t>
      </w:r>
      <w:r>
        <w:rPr>
          <w:rFonts w:hint="eastAsia"/>
          <w:bCs/>
          <w:szCs w:val="24"/>
        </w:rPr>
        <w:t>市场抽查不合格次数0</w:t>
      </w:r>
    </w:p>
    <w:p w14:paraId="590A69AF">
      <w:pPr>
        <w:spacing w:line="360" w:lineRule="auto"/>
        <w:jc w:val="left"/>
        <w:rPr>
          <w:rFonts w:hint="eastAsia" w:asciiTheme="minorEastAsia" w:hAnsiTheme="minorEastAsia" w:eastAsiaTheme="minorEastAsia"/>
          <w:szCs w:val="21"/>
        </w:rPr>
      </w:pPr>
      <w:r>
        <w:rPr>
          <w:rFonts w:hint="eastAsia" w:ascii="宋体" w:hAnsi="宋体"/>
          <w:szCs w:val="21"/>
        </w:rPr>
        <w:t>管理评审会议对方针和目标进行了评审，评审结论基本适宜。</w:t>
      </w:r>
    </w:p>
    <w:p w14:paraId="7F853BC8">
      <w:pPr>
        <w:numPr>
          <w:ilvl w:val="0"/>
          <w:numId w:val="2"/>
        </w:numPr>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策划和实施了内部审核和管理评审情况</w:t>
      </w:r>
    </w:p>
    <w:p w14:paraId="59CCC34B">
      <w:pPr>
        <w:spacing w:line="276" w:lineRule="auto"/>
        <w:jc w:val="left"/>
        <w:rPr>
          <w:rFonts w:hint="eastAsia" w:ascii="宋体" w:hAnsi="宋体"/>
          <w:szCs w:val="21"/>
        </w:rPr>
      </w:pPr>
      <w:bookmarkStart w:id="18" w:name="_Hlk150888946"/>
      <w:r>
        <w:rPr>
          <w:rFonts w:hint="eastAsia" w:ascii="宋体" w:hAnsi="宋体"/>
          <w:szCs w:val="21"/>
        </w:rPr>
        <w:t>公司按照内审计划的要求，于</w:t>
      </w:r>
      <w:r>
        <w:rPr>
          <w:rFonts w:hint="eastAsia" w:ascii="宋体" w:hAnsi="宋体" w:cs="宋体"/>
          <w:szCs w:val="21"/>
        </w:rPr>
        <w:t>202</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16</w:t>
      </w:r>
      <w:r>
        <w:rPr>
          <w:rFonts w:hint="eastAsia" w:ascii="宋体" w:hAnsi="宋体"/>
          <w:szCs w:val="21"/>
        </w:rPr>
        <w:t xml:space="preserve">实施了内部审核，内审记录有内部审核计划、首末次会议签到表、不符合报告1份、 内审检查表、内部审核报告等，提出的不符合项，已关闭，基本符合要求。 </w:t>
      </w:r>
    </w:p>
    <w:p w14:paraId="1F6D04DE">
      <w:pPr>
        <w:spacing w:line="276" w:lineRule="auto"/>
        <w:jc w:val="left"/>
        <w:rPr>
          <w:rFonts w:hint="eastAsia" w:ascii="宋体" w:hAnsi="宋体"/>
          <w:szCs w:val="21"/>
        </w:rPr>
      </w:pPr>
      <w:r>
        <w:rPr>
          <w:rFonts w:hint="eastAsia" w:ascii="宋体" w:hAnsi="宋体"/>
          <w:szCs w:val="21"/>
        </w:rPr>
        <w:t>内审员经过培训后上岗，基本符合标准要求。</w:t>
      </w:r>
    </w:p>
    <w:p w14:paraId="6C4E4A7C">
      <w:pPr>
        <w:spacing w:line="360" w:lineRule="auto"/>
        <w:jc w:val="left"/>
        <w:rPr>
          <w:rFonts w:hint="eastAsia" w:ascii="宋体" w:hAnsi="宋体"/>
          <w:szCs w:val="21"/>
        </w:rPr>
      </w:pPr>
      <w:r>
        <w:rPr>
          <w:rFonts w:hint="eastAsia" w:ascii="宋体" w:hAnsi="宋体"/>
          <w:szCs w:val="21"/>
        </w:rPr>
        <w:t>公司按照策划于202</w:t>
      </w:r>
      <w:r>
        <w:rPr>
          <w:rFonts w:hint="eastAsia" w:ascii="宋体" w:hAnsi="宋体"/>
          <w:szCs w:val="21"/>
          <w:lang w:val="en-US" w:eastAsia="zh-CN"/>
        </w:rPr>
        <w:t>5</w:t>
      </w:r>
      <w:r>
        <w:rPr>
          <w:rFonts w:hint="eastAsia" w:ascii="宋体" w:hAnsi="宋体"/>
          <w:szCs w:val="21"/>
        </w:rPr>
        <w:t>年</w:t>
      </w:r>
      <w:r>
        <w:rPr>
          <w:rFonts w:hint="eastAsia" w:ascii="宋体" w:hAnsi="宋体"/>
          <w:szCs w:val="21"/>
          <w:lang w:val="en-US" w:eastAsia="zh-CN"/>
        </w:rPr>
        <w:t>3</w:t>
      </w:r>
      <w:r>
        <w:rPr>
          <w:rFonts w:hint="eastAsia" w:ascii="宋体" w:hAnsi="宋体"/>
          <w:szCs w:val="21"/>
        </w:rPr>
        <w:t xml:space="preserve">月 </w:t>
      </w:r>
      <w:r>
        <w:rPr>
          <w:rFonts w:hint="eastAsia" w:ascii="宋体" w:hAnsi="宋体"/>
          <w:szCs w:val="21"/>
          <w:lang w:val="en-US" w:eastAsia="zh-CN"/>
        </w:rPr>
        <w:t>28</w:t>
      </w:r>
      <w:r>
        <w:rPr>
          <w:rFonts w:hint="eastAsia" w:ascii="宋体" w:hAnsi="宋体"/>
          <w:szCs w:val="21"/>
        </w:rPr>
        <w:t>日实施了管理评审，提供有管理评审计划、会议签到表、各部门书面报告、管理评审报告等，基本符合标准要求。</w:t>
      </w:r>
      <w:bookmarkEnd w:id="18"/>
    </w:p>
    <w:p w14:paraId="73A51EAA">
      <w:pPr>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14:paraId="209648BC">
      <w:pPr>
        <w:spacing w:line="276"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询问食品安全小组组长潘金凯，基本掌握ISO22000：2018及相关标准的内容，基本符合要求</w:t>
      </w:r>
      <w:r>
        <w:rPr>
          <w:rStyle w:val="33"/>
          <w:rFonts w:hint="default"/>
          <w:szCs w:val="21"/>
        </w:rPr>
        <w:t>标准相关要求</w:t>
      </w:r>
      <w:r>
        <w:rPr>
          <w:rFonts w:hint="eastAsia" w:asciiTheme="minorEastAsia" w:hAnsiTheme="minorEastAsia" w:eastAsiaTheme="minorEastAsia"/>
          <w:szCs w:val="21"/>
        </w:rPr>
        <w:t>，基本符合要求。</w:t>
      </w:r>
    </w:p>
    <w:p w14:paraId="40711A35">
      <w:pPr>
        <w:pStyle w:val="28"/>
        <w:numPr>
          <w:ilvl w:val="0"/>
          <w:numId w:val="1"/>
        </w:numPr>
        <w:spacing w:before="156" w:beforeLines="50" w:after="156" w:afterLines="50" w:line="360" w:lineRule="auto"/>
        <w:rPr>
          <w:rFonts w:hint="eastAsia"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14:paraId="4E0728C9">
      <w:pPr>
        <w:pStyle w:val="28"/>
        <w:spacing w:line="360" w:lineRule="auto"/>
        <w:rPr>
          <w:rFonts w:hint="eastAsia"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14:paraId="66205D51">
      <w:pPr>
        <w:pStyle w:val="16"/>
        <w:numPr>
          <w:ilvl w:val="0"/>
          <w:numId w:val="0"/>
        </w:numPr>
        <w:spacing w:line="276" w:lineRule="auto"/>
        <w:ind w:leftChars="0"/>
        <w:rPr>
          <w:szCs w:val="21"/>
        </w:rPr>
      </w:pPr>
      <w:r>
        <w:rPr>
          <w:rFonts w:hint="eastAsia"/>
          <w:szCs w:val="21"/>
        </w:rPr>
        <w:t>现场检查《营业执照》正本原件 ，</w:t>
      </w:r>
      <w:r>
        <w:rPr>
          <w:rFonts w:hint="eastAsia" w:ascii="宋体" w:hAnsi="宋体"/>
          <w:szCs w:val="21"/>
        </w:rPr>
        <w:t>统一社会信用代码为91110106MA01APDG4A</w:t>
      </w:r>
      <w:r>
        <w:rPr>
          <w:rFonts w:hint="eastAsia"/>
          <w:szCs w:val="21"/>
        </w:rPr>
        <w:t xml:space="preserve"> ；</w:t>
      </w:r>
      <w:r>
        <w:rPr>
          <w:rFonts w:hint="eastAsia" w:ascii="宋体" w:hAnsi="宋体"/>
          <w:szCs w:val="21"/>
        </w:rPr>
        <w:t>经营范围 许可项目:食品生产:食品销售:出版物零售:网络文化经营:第二类增值电信业务:互联网信息服务:烟草制品零售:民用航空器零部件设计和生产，(依法须经批准的项目，经相关部门批准后方可开展经营活动，具体经营项目以相关部门批准文件或许可证件为准)(不得从事国家和本市产业政策禁止和限制类项目的经营活动。)</w:t>
      </w:r>
    </w:p>
    <w:p w14:paraId="02A8E25E">
      <w:pPr>
        <w:pStyle w:val="15"/>
        <w:rPr>
          <w:rFonts w:ascii="宋体" w:hAnsi="宋体" w:cs="宋体"/>
          <w:spacing w:val="0"/>
          <w:szCs w:val="21"/>
        </w:rPr>
      </w:pPr>
      <w:r>
        <w:rPr>
          <w:rFonts w:hint="eastAsia" w:ascii="宋体" w:hAnsi="宋体" w:cs="宋体"/>
          <w:spacing w:val="0"/>
          <w:szCs w:val="21"/>
        </w:rPr>
        <w:t>仅销售预包装食品经营者备案信息表 YB</w:t>
      </w:r>
      <w:r>
        <w:rPr>
          <w:rFonts w:hint="eastAsia" w:ascii="宋体" w:hAnsi="宋体" w:cs="宋体"/>
          <w:spacing w:val="0"/>
          <w:szCs w:val="21"/>
          <w:lang w:val="en-US" w:eastAsia="zh-CN"/>
        </w:rPr>
        <w:t>11105151287619</w:t>
      </w:r>
      <w:r>
        <w:rPr>
          <w:rFonts w:hint="eastAsia" w:ascii="宋体" w:hAnsi="宋体" w:cs="宋体"/>
          <w:spacing w:val="0"/>
          <w:szCs w:val="21"/>
        </w:rPr>
        <w:t xml:space="preserve"> 备案时间：2024年</w:t>
      </w:r>
      <w:r>
        <w:rPr>
          <w:rFonts w:hint="eastAsia" w:ascii="宋体" w:hAnsi="宋体" w:cs="宋体"/>
          <w:spacing w:val="0"/>
          <w:szCs w:val="21"/>
          <w:lang w:val="en-US" w:eastAsia="zh-CN"/>
        </w:rPr>
        <w:t>12</w:t>
      </w:r>
      <w:r>
        <w:rPr>
          <w:rFonts w:hint="eastAsia" w:ascii="宋体" w:hAnsi="宋体" w:cs="宋体"/>
          <w:spacing w:val="0"/>
          <w:szCs w:val="21"/>
        </w:rPr>
        <w:t>月</w:t>
      </w:r>
      <w:r>
        <w:rPr>
          <w:rFonts w:hint="eastAsia" w:ascii="宋体" w:hAnsi="宋体" w:cs="宋体"/>
          <w:spacing w:val="0"/>
          <w:szCs w:val="21"/>
          <w:lang w:val="en-US" w:eastAsia="zh-CN"/>
        </w:rPr>
        <w:t>30</w:t>
      </w:r>
      <w:r>
        <w:rPr>
          <w:rFonts w:hint="eastAsia" w:ascii="宋体" w:hAnsi="宋体" w:cs="宋体"/>
          <w:spacing w:val="0"/>
          <w:szCs w:val="21"/>
        </w:rPr>
        <w:t>日；</w:t>
      </w:r>
    </w:p>
    <w:p w14:paraId="28B4F9FB">
      <w:pPr>
        <w:pStyle w:val="16"/>
        <w:numPr>
          <w:ilvl w:val="0"/>
          <w:numId w:val="0"/>
        </w:numPr>
        <w:spacing w:line="276" w:lineRule="auto"/>
        <w:ind w:leftChars="0"/>
        <w:rPr>
          <w:rFonts w:hint="eastAsia" w:ascii="宋体" w:hAnsi="宋体"/>
          <w:szCs w:val="21"/>
        </w:rPr>
      </w:pPr>
      <w:r>
        <w:rPr>
          <w:rFonts w:hint="eastAsia" w:ascii="宋体" w:hAnsi="宋体"/>
          <w:szCs w:val="21"/>
        </w:rPr>
        <w:t>经营项目：预包装食品销售（</w:t>
      </w:r>
      <w:r>
        <w:rPr>
          <w:rFonts w:hint="eastAsia" w:ascii="宋体" w:hAnsi="宋体"/>
          <w:szCs w:val="21"/>
          <w:lang w:val="en-US" w:eastAsia="zh-CN"/>
        </w:rPr>
        <w:t>不</w:t>
      </w:r>
      <w:r>
        <w:rPr>
          <w:rFonts w:hint="eastAsia" w:ascii="宋体" w:hAnsi="宋体"/>
          <w:szCs w:val="21"/>
        </w:rPr>
        <w:t>含冷藏冷冻食品销售、不含特殊食品销售）；</w:t>
      </w:r>
    </w:p>
    <w:p w14:paraId="288DDA4C">
      <w:pPr>
        <w:pStyle w:val="16"/>
        <w:numPr>
          <w:ilvl w:val="0"/>
          <w:numId w:val="0"/>
        </w:numPr>
        <w:spacing w:line="276" w:lineRule="auto"/>
        <w:ind w:leftChars="0"/>
        <w:rPr>
          <w:rFonts w:hint="eastAsia" w:ascii="宋体" w:hAnsi="宋体"/>
          <w:szCs w:val="21"/>
        </w:rPr>
      </w:pPr>
      <w:r>
        <w:rPr>
          <w:rFonts w:hint="eastAsia" w:ascii="宋体" w:hAnsi="宋体"/>
          <w:szCs w:val="21"/>
        </w:rPr>
        <w:t>2)受审核方遵守相关法律法规、标准及其他要求的证据</w:t>
      </w:r>
    </w:p>
    <w:p w14:paraId="64FC5094">
      <w:pPr>
        <w:pStyle w:val="28"/>
        <w:spacing w:line="360" w:lineRule="auto"/>
        <w:rPr>
          <w:rFonts w:hint="eastAsia" w:asciiTheme="minorEastAsia" w:hAnsiTheme="minorEastAsia" w:eastAsiaTheme="minorEastAsia"/>
          <w:color w:val="auto"/>
          <w:kern w:val="2"/>
          <w:sz w:val="21"/>
          <w:szCs w:val="21"/>
        </w:rPr>
      </w:pPr>
      <w:r>
        <w:rPr>
          <w:rStyle w:val="33"/>
          <w:rFonts w:hint="default"/>
          <w:szCs w:val="21"/>
        </w:rPr>
        <w:t>体系运行以来，没有发生质量环境职业健康安全事故、重大顾客投诉以及行政处罚等</w:t>
      </w:r>
      <w:r>
        <w:rPr>
          <w:rStyle w:val="33"/>
          <w:szCs w:val="21"/>
        </w:rPr>
        <w:t>；</w:t>
      </w:r>
      <w:r>
        <w:rPr>
          <w:rFonts w:hint="eastAsia" w:asciiTheme="minorEastAsia" w:hAnsiTheme="minorEastAsia" w:eastAsiaTheme="minorEastAsia"/>
          <w:color w:val="auto"/>
          <w:kern w:val="2"/>
          <w:sz w:val="21"/>
          <w:szCs w:val="21"/>
        </w:rPr>
        <w:t>提供有产品的第三方检测报告和供方资质，产品检测结论合格，符合要求。</w:t>
      </w:r>
    </w:p>
    <w:p w14:paraId="3EAC213C">
      <w:pPr>
        <w:pStyle w:val="28"/>
        <w:spacing w:line="360" w:lineRule="auto"/>
        <w:rPr>
          <w:rFonts w:hint="eastAsia"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14:paraId="6C83C652">
      <w:pPr>
        <w:pStyle w:val="16"/>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询问相关部门负责人，基本了解相关法规内容。</w:t>
      </w:r>
    </w:p>
    <w:p w14:paraId="165C3B97">
      <w:pPr>
        <w:pStyle w:val="28"/>
        <w:spacing w:line="360" w:lineRule="auto"/>
        <w:rPr>
          <w:rFonts w:hint="eastAsia" w:asciiTheme="minorEastAsia" w:hAnsiTheme="minorEastAsia" w:eastAsiaTheme="minorEastAsia"/>
          <w:b/>
          <w:color w:val="auto"/>
          <w:kern w:val="2"/>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r>
        <w:rPr>
          <w:rFonts w:hint="eastAsia" w:asciiTheme="minorEastAsia" w:hAnsiTheme="minorEastAsia" w:eastAsiaTheme="minorEastAsia"/>
          <w:color w:val="auto"/>
          <w:kern w:val="2"/>
          <w:sz w:val="21"/>
          <w:szCs w:val="21"/>
        </w:rPr>
        <w:t>无</w:t>
      </w:r>
    </w:p>
    <w:p w14:paraId="6B66D6CF">
      <w:pPr>
        <w:pStyle w:val="28"/>
        <w:spacing w:before="156" w:beforeLines="50" w:after="156" w:afterLines="50" w:line="360" w:lineRule="auto"/>
        <w:rPr>
          <w:rFonts w:hint="eastAsia"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14:paraId="634BC3ED">
      <w:pPr>
        <w:pStyle w:val="28"/>
        <w:spacing w:line="360" w:lineRule="auto"/>
        <w:rPr>
          <w:rFonts w:hint="eastAsia" w:asciiTheme="minorEastAsia" w:hAnsiTheme="minorEastAsia" w:eastAsiaTheme="minorEastAsia"/>
          <w:bCs/>
          <w:color w:val="auto"/>
          <w:kern w:val="2"/>
        </w:rPr>
      </w:pPr>
      <w:r>
        <w:rPr>
          <w:rFonts w:hint="eastAsia" w:asciiTheme="minorEastAsia" w:hAnsiTheme="minorEastAsia" w:eastAsiaTheme="minorEastAsia"/>
          <w:bCs/>
          <w:color w:val="auto"/>
          <w:kern w:val="2"/>
          <w:sz w:val="21"/>
          <w:szCs w:val="21"/>
        </w:rPr>
        <w:t>危害控制计划实施情况、不合格品管理情况</w:t>
      </w:r>
    </w:p>
    <w:p w14:paraId="6CA83755">
      <w:pPr>
        <w:pStyle w:val="28"/>
        <w:spacing w:before="156" w:beforeLines="50" w:after="156" w:afterLines="50" w:line="360" w:lineRule="auto"/>
        <w:rPr>
          <w:rFonts w:hint="eastAsia"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14:paraId="42788876">
      <w:pPr>
        <w:pStyle w:val="28"/>
        <w:spacing w:before="156" w:beforeLines="50" w:after="156" w:afterLines="50" w:line="360" w:lineRule="auto"/>
        <w:rPr>
          <w:sz w:val="21"/>
          <w:szCs w:val="21"/>
        </w:rPr>
      </w:pPr>
      <w:bookmarkStart w:id="19" w:name="审核范围"/>
      <w:r>
        <w:rPr>
          <w:sz w:val="21"/>
          <w:szCs w:val="21"/>
        </w:rPr>
        <w:t>位于北京市朝阳区东四环中路56号楼15层1501单元1507房间北京福星祥鲤科技有限公司的预包装食品（不含冷藏冷冻食品）的销售</w:t>
      </w:r>
      <w:bookmarkEnd w:id="19"/>
    </w:p>
    <w:p w14:paraId="4CD889F6">
      <w:pPr>
        <w:pStyle w:val="28"/>
        <w:spacing w:before="156" w:beforeLines="50" w:after="156" w:afterLines="50" w:line="360" w:lineRule="auto"/>
        <w:rPr>
          <w:rFonts w:hint="eastAsia"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14:paraId="2A318A85">
      <w:pPr>
        <w:pStyle w:val="28"/>
        <w:shd w:val="clear" w:color="auto" w:fill="FFFFFF"/>
        <w:spacing w:line="360" w:lineRule="auto"/>
        <w:ind w:firstLine="422" w:firstLineChars="200"/>
        <w:rPr>
          <w:rFonts w:hint="eastAsia"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0" w:name="审核日期"/>
      <w:r>
        <w:rPr>
          <w:rFonts w:hint="eastAsia" w:cs="宋体" w:asciiTheme="minorEastAsia" w:hAnsiTheme="minorEastAsia" w:eastAsiaTheme="minorEastAsia"/>
          <w:color w:val="auto"/>
          <w:kern w:val="2"/>
          <w:sz w:val="21"/>
          <w:szCs w:val="21"/>
        </w:rPr>
        <w:t>202</w:t>
      </w:r>
      <w:r>
        <w:rPr>
          <w:rFonts w:hint="eastAsia" w:cs="宋体" w:asciiTheme="minorEastAsia" w:hAnsiTheme="minorEastAsia" w:eastAsiaTheme="minorEastAsia"/>
          <w:color w:val="auto"/>
          <w:kern w:val="2"/>
          <w:sz w:val="21"/>
          <w:szCs w:val="21"/>
          <w:lang w:val="en-US" w:eastAsia="zh-CN"/>
        </w:rPr>
        <w:t>5</w:t>
      </w:r>
      <w:r>
        <w:rPr>
          <w:rFonts w:hint="eastAsia" w:cs="宋体" w:asciiTheme="minorEastAsia" w:hAnsiTheme="minorEastAsia" w:eastAsiaTheme="minorEastAsia"/>
          <w:color w:val="auto"/>
          <w:kern w:val="2"/>
          <w:sz w:val="21"/>
          <w:szCs w:val="21"/>
        </w:rPr>
        <w:t>年</w:t>
      </w:r>
      <w:r>
        <w:rPr>
          <w:rFonts w:hint="eastAsia" w:cs="宋体" w:asciiTheme="minorEastAsia" w:hAnsiTheme="minorEastAsia" w:eastAsiaTheme="minorEastAsia"/>
          <w:color w:val="auto"/>
          <w:kern w:val="2"/>
          <w:sz w:val="21"/>
          <w:szCs w:val="21"/>
          <w:lang w:val="en-US" w:eastAsia="zh-CN"/>
        </w:rPr>
        <w:t>5</w:t>
      </w:r>
      <w:r>
        <w:rPr>
          <w:rFonts w:hint="eastAsia" w:cs="宋体" w:asciiTheme="minorEastAsia" w:hAnsiTheme="minorEastAsia" w:eastAsiaTheme="minorEastAsia"/>
          <w:color w:val="auto"/>
          <w:kern w:val="2"/>
          <w:sz w:val="21"/>
          <w:szCs w:val="21"/>
        </w:rPr>
        <w:t>月</w:t>
      </w:r>
      <w:r>
        <w:rPr>
          <w:rFonts w:hint="eastAsia" w:cs="宋体" w:asciiTheme="minorEastAsia" w:hAnsiTheme="minorEastAsia" w:eastAsiaTheme="minorEastAsia"/>
          <w:color w:val="auto"/>
          <w:kern w:val="2"/>
          <w:sz w:val="21"/>
          <w:szCs w:val="21"/>
          <w:lang w:val="en-US" w:eastAsia="zh-CN"/>
        </w:rPr>
        <w:t>10</w:t>
      </w:r>
      <w:r>
        <w:rPr>
          <w:rFonts w:hint="eastAsia" w:cs="宋体" w:asciiTheme="minorEastAsia" w:hAnsiTheme="minorEastAsia" w:eastAsiaTheme="minorEastAsia"/>
          <w:color w:val="auto"/>
          <w:kern w:val="2"/>
          <w:sz w:val="21"/>
          <w:szCs w:val="21"/>
        </w:rPr>
        <w:t>日 上午至202</w:t>
      </w:r>
      <w:r>
        <w:rPr>
          <w:rFonts w:hint="eastAsia" w:cs="宋体" w:asciiTheme="minorEastAsia" w:hAnsiTheme="minorEastAsia" w:eastAsiaTheme="minorEastAsia"/>
          <w:color w:val="auto"/>
          <w:kern w:val="2"/>
          <w:sz w:val="21"/>
          <w:szCs w:val="21"/>
          <w:lang w:val="en-US" w:eastAsia="zh-CN"/>
        </w:rPr>
        <w:t>5</w:t>
      </w:r>
      <w:r>
        <w:rPr>
          <w:rFonts w:hint="eastAsia" w:cs="宋体" w:asciiTheme="minorEastAsia" w:hAnsiTheme="minorEastAsia" w:eastAsiaTheme="minorEastAsia"/>
          <w:color w:val="auto"/>
          <w:kern w:val="2"/>
          <w:sz w:val="21"/>
          <w:szCs w:val="21"/>
        </w:rPr>
        <w:t>年</w:t>
      </w:r>
      <w:r>
        <w:rPr>
          <w:rFonts w:hint="eastAsia" w:cs="宋体" w:asciiTheme="minorEastAsia" w:hAnsiTheme="minorEastAsia" w:eastAsiaTheme="minorEastAsia"/>
          <w:color w:val="auto"/>
          <w:kern w:val="2"/>
          <w:sz w:val="21"/>
          <w:szCs w:val="21"/>
          <w:lang w:val="en-US" w:eastAsia="zh-CN"/>
        </w:rPr>
        <w:t>5</w:t>
      </w:r>
      <w:r>
        <w:rPr>
          <w:rFonts w:hint="eastAsia" w:cs="宋体" w:asciiTheme="minorEastAsia" w:hAnsiTheme="minorEastAsia" w:eastAsiaTheme="minorEastAsia"/>
          <w:color w:val="auto"/>
          <w:kern w:val="2"/>
          <w:sz w:val="21"/>
          <w:szCs w:val="21"/>
        </w:rPr>
        <w:t>月</w:t>
      </w:r>
      <w:r>
        <w:rPr>
          <w:rFonts w:hint="eastAsia" w:cs="宋体" w:asciiTheme="minorEastAsia" w:hAnsiTheme="minorEastAsia" w:eastAsiaTheme="minorEastAsia"/>
          <w:color w:val="auto"/>
          <w:kern w:val="2"/>
          <w:sz w:val="21"/>
          <w:szCs w:val="21"/>
          <w:lang w:val="en-US" w:eastAsia="zh-CN"/>
        </w:rPr>
        <w:t>10</w:t>
      </w:r>
      <w:r>
        <w:rPr>
          <w:rFonts w:hint="eastAsia" w:cs="宋体" w:asciiTheme="minorEastAsia" w:hAnsiTheme="minorEastAsia" w:eastAsiaTheme="minorEastAsia"/>
          <w:color w:val="auto"/>
          <w:kern w:val="2"/>
          <w:sz w:val="21"/>
          <w:szCs w:val="21"/>
        </w:rPr>
        <w:t>日 下午</w:t>
      </w:r>
      <w:bookmarkEnd w:id="20"/>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7A763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4" w:type="dxa"/>
            <w:gridSpan w:val="2"/>
            <w:shd w:val="clear" w:color="auto" w:fill="auto"/>
          </w:tcPr>
          <w:p w14:paraId="499BD639">
            <w:pPr>
              <w:pStyle w:val="28"/>
              <w:spacing w:line="360" w:lineRule="auto"/>
              <w:rPr>
                <w:rFonts w:hint="eastAsia"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29B7A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3CCE75E">
            <w:pPr>
              <w:pStyle w:val="28"/>
              <w:spacing w:line="360" w:lineRule="auto"/>
              <w:rPr>
                <w:rFonts w:hint="eastAsia"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06D4B886">
            <w:pPr>
              <w:pStyle w:val="28"/>
              <w:spacing w:line="360" w:lineRule="auto"/>
              <w:rPr>
                <w:rFonts w:hint="eastAsia"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0553E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05DE00D1">
            <w:pPr>
              <w:pStyle w:val="28"/>
              <w:spacing w:line="360" w:lineRule="auto"/>
              <w:rPr>
                <w:rFonts w:hint="eastAsia"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1</w:t>
            </w:r>
          </w:p>
        </w:tc>
        <w:tc>
          <w:tcPr>
            <w:tcW w:w="8895" w:type="dxa"/>
            <w:shd w:val="clear" w:color="auto" w:fill="auto"/>
          </w:tcPr>
          <w:p w14:paraId="30D20D45">
            <w:pPr>
              <w:pStyle w:val="28"/>
              <w:spacing w:line="360" w:lineRule="auto"/>
              <w:rPr>
                <w:rFonts w:hint="eastAsia" w:cs="宋体" w:asciiTheme="minorEastAsia" w:hAnsiTheme="minorEastAsia" w:eastAsiaTheme="minorEastAsia"/>
                <w:color w:val="auto"/>
                <w:kern w:val="2"/>
                <w:sz w:val="21"/>
                <w:szCs w:val="21"/>
              </w:rPr>
            </w:pPr>
            <w:r>
              <w:rPr>
                <w:rFonts w:hint="eastAsia" w:ascii="宋体" w:hAnsi="宋体"/>
                <w:b w:val="0"/>
                <w:bCs/>
                <w:sz w:val="21"/>
                <w:szCs w:val="21"/>
                <w:lang w:val="en-US" w:eastAsia="zh-CN"/>
              </w:rPr>
              <w:t>HACCP计划中采购验收作为OPRP管控，为有效识别化学危害，且OPRP确认依据缺少微生物的法律依据</w:t>
            </w:r>
          </w:p>
        </w:tc>
      </w:tr>
      <w:tr w14:paraId="3C4F7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E724443">
            <w:pPr>
              <w:pStyle w:val="28"/>
              <w:spacing w:line="360" w:lineRule="auto"/>
              <w:rPr>
                <w:rFonts w:hint="eastAsia"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2、</w:t>
            </w:r>
          </w:p>
        </w:tc>
        <w:tc>
          <w:tcPr>
            <w:tcW w:w="8895" w:type="dxa"/>
            <w:shd w:val="clear" w:color="auto" w:fill="auto"/>
          </w:tcPr>
          <w:p w14:paraId="00B1B3E8">
            <w:pPr>
              <w:pStyle w:val="28"/>
              <w:spacing w:line="360" w:lineRule="auto"/>
              <w:rPr>
                <w:rFonts w:hint="default" w:cs="宋体" w:asciiTheme="minorEastAsia" w:hAnsiTheme="minorEastAsia" w:eastAsiaTheme="minorEastAsia"/>
                <w:color w:val="auto"/>
                <w:kern w:val="2"/>
                <w:sz w:val="21"/>
                <w:szCs w:val="21"/>
                <w:lang w:val="en-US" w:eastAsia="zh-CN"/>
              </w:rPr>
            </w:pPr>
            <w:r>
              <w:rPr>
                <w:rFonts w:hint="eastAsia" w:cs="宋体" w:asciiTheme="minorEastAsia" w:hAnsiTheme="minorEastAsia" w:eastAsiaTheme="minorEastAsia"/>
                <w:color w:val="auto"/>
                <w:kern w:val="2"/>
                <w:sz w:val="21"/>
                <w:szCs w:val="21"/>
              </w:rPr>
              <w:t>外包识别</w:t>
            </w:r>
            <w:r>
              <w:rPr>
                <w:rFonts w:hint="eastAsia" w:cs="宋体" w:asciiTheme="minorEastAsia" w:hAnsiTheme="minorEastAsia" w:eastAsiaTheme="minorEastAsia"/>
                <w:color w:val="auto"/>
                <w:kern w:val="2"/>
                <w:sz w:val="21"/>
                <w:szCs w:val="21"/>
                <w:lang w:val="en-US" w:eastAsia="zh-CN"/>
              </w:rPr>
              <w:t>与实际不符</w:t>
            </w:r>
          </w:p>
        </w:tc>
      </w:tr>
      <w:tr w14:paraId="31524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380D027B">
            <w:pPr>
              <w:pStyle w:val="28"/>
              <w:spacing w:line="360" w:lineRule="auto"/>
              <w:rPr>
                <w:rFonts w:hint="eastAsia"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3</w:t>
            </w:r>
          </w:p>
        </w:tc>
        <w:tc>
          <w:tcPr>
            <w:tcW w:w="8895" w:type="dxa"/>
            <w:shd w:val="clear" w:color="auto" w:fill="auto"/>
          </w:tcPr>
          <w:p w14:paraId="6624EAD8">
            <w:pPr>
              <w:pStyle w:val="28"/>
              <w:spacing w:line="360" w:lineRule="auto"/>
              <w:rPr>
                <w:rFonts w:hint="eastAsia" w:cs="宋体" w:asciiTheme="minorEastAsia" w:hAnsiTheme="minorEastAsia" w:eastAsiaTheme="minorEastAsia"/>
                <w:color w:val="auto"/>
                <w:kern w:val="2"/>
                <w:sz w:val="21"/>
                <w:szCs w:val="21"/>
              </w:rPr>
            </w:pPr>
            <w:r>
              <w:rPr>
                <w:rFonts w:hint="eastAsia" w:ascii="宋体" w:hAnsi="宋体"/>
                <w:b w:val="0"/>
                <w:bCs/>
                <w:sz w:val="21"/>
                <w:szCs w:val="21"/>
                <w:lang w:val="en-US" w:eastAsia="zh-CN"/>
              </w:rPr>
              <w:t>GB2760未识别有效版本；未识别企业落实主体责任等文件</w:t>
            </w:r>
          </w:p>
        </w:tc>
      </w:tr>
    </w:tbl>
    <w:p w14:paraId="50B8EA68">
      <w:pPr>
        <w:pStyle w:val="28"/>
        <w:shd w:val="clear" w:color="auto" w:fill="FFFFFF"/>
        <w:spacing w:line="360" w:lineRule="auto"/>
        <w:ind w:firstLine="422" w:firstLineChars="200"/>
        <w:rPr>
          <w:rFonts w:hint="eastAsia" w:cs="宋体" w:asciiTheme="minorEastAsia" w:hAnsiTheme="minorEastAsia" w:eastAsiaTheme="minorEastAsia"/>
          <w:b/>
          <w:color w:val="auto"/>
          <w:sz w:val="21"/>
          <w:szCs w:val="21"/>
        </w:rPr>
      </w:pPr>
    </w:p>
    <w:p w14:paraId="610584E0">
      <w:pPr>
        <w:pStyle w:val="28"/>
        <w:shd w:val="clear" w:color="auto" w:fill="FFFFFF"/>
        <w:spacing w:line="360" w:lineRule="auto"/>
        <w:ind w:firstLine="422" w:firstLineChars="200"/>
        <w:rPr>
          <w:rFonts w:hint="eastAsia"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1D4E7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2BC77133">
            <w:pPr>
              <w:pStyle w:val="28"/>
              <w:spacing w:line="360" w:lineRule="auto"/>
              <w:rPr>
                <w:rFonts w:hint="eastAsia"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76921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65B62FD1">
            <w:pPr>
              <w:pStyle w:val="28"/>
              <w:spacing w:line="360" w:lineRule="auto"/>
              <w:rPr>
                <w:rFonts w:hint="eastAsia"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19554057">
            <w:pPr>
              <w:pStyle w:val="28"/>
              <w:spacing w:line="360" w:lineRule="auto"/>
              <w:rPr>
                <w:rFonts w:hint="eastAsia"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40E4D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5D1C3878">
            <w:pPr>
              <w:pStyle w:val="28"/>
              <w:spacing w:line="360" w:lineRule="auto"/>
              <w:rPr>
                <w:rFonts w:hint="eastAsia" w:cs="宋体" w:asciiTheme="minorEastAsia" w:hAnsiTheme="minorEastAsia" w:eastAsiaTheme="minorEastAsia"/>
                <w:color w:val="auto"/>
                <w:kern w:val="2"/>
                <w:sz w:val="21"/>
                <w:szCs w:val="21"/>
              </w:rPr>
            </w:pPr>
          </w:p>
        </w:tc>
        <w:tc>
          <w:tcPr>
            <w:tcW w:w="8895" w:type="dxa"/>
            <w:shd w:val="clear" w:color="auto" w:fill="auto"/>
          </w:tcPr>
          <w:p w14:paraId="1EAF29D7">
            <w:pPr>
              <w:pStyle w:val="28"/>
              <w:spacing w:line="360" w:lineRule="auto"/>
              <w:rPr>
                <w:rFonts w:hint="eastAsia" w:cs="宋体" w:asciiTheme="minorEastAsia" w:hAnsiTheme="minorEastAsia" w:eastAsiaTheme="minorEastAsia"/>
                <w:color w:val="auto"/>
                <w:kern w:val="2"/>
                <w:sz w:val="21"/>
                <w:szCs w:val="21"/>
              </w:rPr>
            </w:pPr>
          </w:p>
        </w:tc>
      </w:tr>
      <w:tr w14:paraId="37D7A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5875147">
            <w:pPr>
              <w:pStyle w:val="28"/>
              <w:spacing w:line="360" w:lineRule="auto"/>
              <w:rPr>
                <w:rFonts w:hint="eastAsia" w:cs="宋体" w:asciiTheme="minorEastAsia" w:hAnsiTheme="minorEastAsia" w:eastAsiaTheme="minorEastAsia"/>
                <w:color w:val="auto"/>
                <w:kern w:val="2"/>
                <w:sz w:val="21"/>
                <w:szCs w:val="21"/>
              </w:rPr>
            </w:pPr>
          </w:p>
        </w:tc>
        <w:tc>
          <w:tcPr>
            <w:tcW w:w="8895" w:type="dxa"/>
            <w:shd w:val="clear" w:color="auto" w:fill="auto"/>
          </w:tcPr>
          <w:p w14:paraId="5345CD09">
            <w:pPr>
              <w:pStyle w:val="28"/>
              <w:spacing w:line="360" w:lineRule="auto"/>
              <w:rPr>
                <w:rFonts w:hint="eastAsia" w:cs="宋体" w:asciiTheme="minorEastAsia" w:hAnsiTheme="minorEastAsia" w:eastAsiaTheme="minorEastAsia"/>
                <w:color w:val="auto"/>
                <w:kern w:val="2"/>
                <w:sz w:val="21"/>
                <w:szCs w:val="21"/>
              </w:rPr>
            </w:pPr>
          </w:p>
        </w:tc>
      </w:tr>
      <w:tr w14:paraId="33B7E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682BFD41">
            <w:pPr>
              <w:tabs>
                <w:tab w:val="left" w:pos="105"/>
              </w:tabs>
              <w:autoSpaceDE w:val="0"/>
              <w:autoSpaceDN w:val="0"/>
              <w:adjustRightInd w:val="0"/>
              <w:spacing w:line="360" w:lineRule="auto"/>
              <w:jc w:val="left"/>
              <w:rPr>
                <w:rFonts w:hint="eastAsia" w:asciiTheme="minorEastAsia" w:hAnsiTheme="minorEastAsia" w:eastAsiaTheme="minorEastAsia"/>
                <w:bCs/>
                <w:szCs w:val="21"/>
              </w:rPr>
            </w:pPr>
            <w:r>
              <w:rPr>
                <w:rFonts w:hint="eastAsia" w:asciiTheme="minorEastAsia" w:hAnsiTheme="minorEastAsia" w:eastAsiaTheme="minorEastAsia"/>
                <w:bCs/>
                <w:szCs w:val="21"/>
              </w:rPr>
              <w:t>问题验证结果 ：</w:t>
            </w:r>
          </w:p>
          <w:p w14:paraId="7A9FA0AB">
            <w:pPr>
              <w:tabs>
                <w:tab w:val="left" w:pos="105"/>
              </w:tabs>
              <w:autoSpaceDE w:val="0"/>
              <w:autoSpaceDN w:val="0"/>
              <w:adjustRightInd w:val="0"/>
              <w:spacing w:line="360" w:lineRule="auto"/>
              <w:jc w:val="left"/>
              <w:rPr>
                <w:rFonts w:hint="eastAsia"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14:paraId="58E3BC33">
            <w:pPr>
              <w:tabs>
                <w:tab w:val="left" w:pos="105"/>
              </w:tabs>
              <w:autoSpaceDE w:val="0"/>
              <w:autoSpaceDN w:val="0"/>
              <w:adjustRightInd w:val="0"/>
              <w:spacing w:line="360" w:lineRule="auto"/>
              <w:jc w:val="left"/>
              <w:rPr>
                <w:rFonts w:hint="eastAsia"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14:paraId="3170150E">
      <w:pPr>
        <w:pStyle w:val="28"/>
        <w:shd w:val="clear" w:color="auto" w:fill="FFFFFF"/>
        <w:spacing w:line="360" w:lineRule="auto"/>
        <w:rPr>
          <w:rFonts w:hint="eastAsia" w:cs="宋体" w:asciiTheme="minorEastAsia" w:hAnsiTheme="minorEastAsia" w:eastAsiaTheme="minorEastAsia"/>
          <w:color w:val="auto"/>
          <w:kern w:val="2"/>
          <w:sz w:val="21"/>
          <w:szCs w:val="21"/>
        </w:rPr>
      </w:pPr>
    </w:p>
    <w:p w14:paraId="33E49A12">
      <w:pPr>
        <w:pStyle w:val="28"/>
        <w:shd w:val="clear" w:color="auto" w:fill="FFFFFF"/>
        <w:spacing w:line="360" w:lineRule="auto"/>
        <w:ind w:firstLine="422" w:firstLineChars="200"/>
        <w:rPr>
          <w:rFonts w:hint="eastAsia"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26E39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63F7722A">
            <w:pPr>
              <w:pStyle w:val="28"/>
              <w:spacing w:line="360" w:lineRule="auto"/>
              <w:rPr>
                <w:rFonts w:hint="eastAsia"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2D726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03FDF7DC">
            <w:pPr>
              <w:pStyle w:val="28"/>
              <w:spacing w:line="360" w:lineRule="auto"/>
              <w:rPr>
                <w:rFonts w:hint="eastAsia"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411A6A72">
            <w:pPr>
              <w:pStyle w:val="28"/>
              <w:spacing w:line="360" w:lineRule="auto"/>
              <w:rPr>
                <w:rFonts w:hint="eastAsia"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14:paraId="5BC25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181C970F">
            <w:pPr>
              <w:pStyle w:val="28"/>
              <w:spacing w:line="360" w:lineRule="auto"/>
              <w:rPr>
                <w:rFonts w:hint="eastAsia" w:cs="宋体" w:asciiTheme="minorEastAsia" w:hAnsiTheme="minorEastAsia" w:eastAsiaTheme="minorEastAsia"/>
                <w:color w:val="auto"/>
                <w:kern w:val="2"/>
                <w:sz w:val="21"/>
                <w:szCs w:val="21"/>
              </w:rPr>
            </w:pPr>
          </w:p>
        </w:tc>
        <w:tc>
          <w:tcPr>
            <w:tcW w:w="8895" w:type="dxa"/>
            <w:shd w:val="clear" w:color="auto" w:fill="auto"/>
          </w:tcPr>
          <w:p w14:paraId="1BDBD68B">
            <w:pPr>
              <w:pStyle w:val="28"/>
              <w:spacing w:line="360" w:lineRule="auto"/>
              <w:rPr>
                <w:rFonts w:hint="eastAsia" w:cs="宋体" w:asciiTheme="minorEastAsia" w:hAnsiTheme="minorEastAsia" w:eastAsiaTheme="minorEastAsia"/>
                <w:color w:val="auto"/>
                <w:kern w:val="2"/>
                <w:sz w:val="21"/>
                <w:szCs w:val="21"/>
              </w:rPr>
            </w:pPr>
          </w:p>
        </w:tc>
      </w:tr>
      <w:tr w14:paraId="35028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4AE5C662">
            <w:pPr>
              <w:pStyle w:val="28"/>
              <w:spacing w:line="360" w:lineRule="auto"/>
              <w:rPr>
                <w:rFonts w:hint="eastAsia" w:cs="宋体" w:asciiTheme="minorEastAsia" w:hAnsiTheme="minorEastAsia" w:eastAsiaTheme="minorEastAsia"/>
                <w:color w:val="auto"/>
                <w:kern w:val="2"/>
                <w:sz w:val="21"/>
                <w:szCs w:val="21"/>
              </w:rPr>
            </w:pPr>
          </w:p>
        </w:tc>
        <w:tc>
          <w:tcPr>
            <w:tcW w:w="8895" w:type="dxa"/>
            <w:shd w:val="clear" w:color="auto" w:fill="auto"/>
          </w:tcPr>
          <w:p w14:paraId="6BF8708B">
            <w:pPr>
              <w:pStyle w:val="28"/>
              <w:spacing w:line="360" w:lineRule="auto"/>
              <w:rPr>
                <w:rFonts w:hint="eastAsia" w:cs="宋体" w:asciiTheme="minorEastAsia" w:hAnsiTheme="minorEastAsia" w:eastAsiaTheme="minorEastAsia"/>
                <w:color w:val="auto"/>
                <w:kern w:val="2"/>
                <w:sz w:val="21"/>
                <w:szCs w:val="21"/>
              </w:rPr>
            </w:pPr>
          </w:p>
        </w:tc>
      </w:tr>
    </w:tbl>
    <w:p w14:paraId="3D19B3CE">
      <w:pPr>
        <w:pStyle w:val="28"/>
        <w:shd w:val="clear" w:color="auto" w:fill="FFFFFF"/>
        <w:spacing w:line="360" w:lineRule="auto"/>
        <w:ind w:firstLine="420" w:firstLineChars="200"/>
        <w:rPr>
          <w:rFonts w:hint="eastAsia"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14:paraId="2BC019A2">
        <w:tblPrEx>
          <w:tblCellMar>
            <w:top w:w="0" w:type="dxa"/>
            <w:left w:w="108" w:type="dxa"/>
            <w:bottom w:w="0" w:type="dxa"/>
            <w:right w:w="108" w:type="dxa"/>
          </w:tblCellMar>
        </w:tblPrEx>
        <w:tc>
          <w:tcPr>
            <w:tcW w:w="10008" w:type="dxa"/>
            <w:vAlign w:val="center"/>
          </w:tcPr>
          <w:p w14:paraId="1E13C5E5">
            <w:pPr>
              <w:pStyle w:val="8"/>
              <w:spacing w:line="360" w:lineRule="auto"/>
              <w:ind w:left="823" w:right="0" w:rightChars="0" w:hanging="823" w:hangingChars="392"/>
              <w:jc w:val="left"/>
              <w:rPr>
                <w:rFonts w:hint="eastAsia"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14:paraId="779BB6C8">
            <w:pPr>
              <w:pStyle w:val="8"/>
              <w:spacing w:line="360" w:lineRule="auto"/>
              <w:ind w:right="0" w:rightChars="0" w:firstLine="420" w:firstLineChars="200"/>
              <w:jc w:val="left"/>
              <w:rPr>
                <w:rFonts w:hint="eastAsia"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14:paraId="03A422D0">
      <w:pPr>
        <w:spacing w:line="360" w:lineRule="auto"/>
        <w:jc w:val="left"/>
        <w:rPr>
          <w:szCs w:val="21"/>
        </w:rPr>
      </w:pPr>
    </w:p>
    <w:p w14:paraId="4AD83990">
      <w:pPr>
        <w:pStyle w:val="15"/>
        <w:spacing w:line="360" w:lineRule="auto"/>
        <w:jc w:val="left"/>
      </w:pPr>
    </w:p>
    <w:p w14:paraId="64252566">
      <w:pPr>
        <w:pStyle w:val="28"/>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14:paraId="00189CF7">
      <w:pPr>
        <w:pStyle w:val="28"/>
        <w:spacing w:before="156" w:beforeLines="50" w:after="156" w:afterLines="50" w:line="360" w:lineRule="auto"/>
        <w:ind w:firstLine="5692" w:firstLineChars="2700"/>
        <w:rPr>
          <w:b/>
          <w:color w:val="auto"/>
          <w:kern w:val="2"/>
          <w:sz w:val="21"/>
          <w:u w:val="single"/>
        </w:rPr>
      </w:pPr>
      <w:r>
        <w:rPr>
          <w:rFonts w:hint="eastAsia"/>
          <w:b/>
          <w:color w:val="auto"/>
          <w:kern w:val="2"/>
          <w:sz w:val="21"/>
          <w:lang w:val="en-GB"/>
        </w:rPr>
        <w:t>审核组:</w:t>
      </w:r>
      <w:r>
        <w:rPr>
          <w:rFonts w:hint="eastAsia"/>
          <w:b/>
          <w:color w:val="auto"/>
          <w:kern w:val="2"/>
          <w:sz w:val="21"/>
          <w:u w:val="single"/>
        </w:rPr>
        <w:t>李楠</w:t>
      </w:r>
    </w:p>
    <w:p w14:paraId="4B4A5A37">
      <w:pPr>
        <w:pStyle w:val="15"/>
      </w:pPr>
    </w:p>
    <w:p w14:paraId="5C4A4D4C">
      <w:pPr>
        <w:spacing w:before="156" w:beforeLines="50" w:after="156" w:afterLines="50" w:line="360" w:lineRule="auto"/>
        <w:jc w:val="left"/>
      </w:pPr>
    </w:p>
    <w:p w14:paraId="3751F715">
      <w:pPr>
        <w:pStyle w:val="15"/>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4007EB47">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14:paraId="281C44C5">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4BBD1">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14:paraId="73EFB0B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BE5CD25">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27AC558"/>
    <w:multiLevelType w:val="singleLevel"/>
    <w:tmpl w:val="627AC558"/>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YxYmU1NmYyMWFkZjYyZDEwZTNjMWQwOWJhNGExYWYifQ=="/>
  </w:docVars>
  <w:rsids>
    <w:rsidRoot w:val="00000000"/>
    <w:rsid w:val="11AF4CF5"/>
    <w:rsid w:val="23477237"/>
    <w:rsid w:val="31E77FDB"/>
    <w:rsid w:val="548942E3"/>
    <w:rsid w:val="557C6E4B"/>
    <w:rsid w:val="709D486D"/>
    <w:rsid w:val="7B982B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ody Text"/>
    <w:basedOn w:val="1"/>
    <w:semiHidden/>
    <w:unhideWhenUsed/>
    <w:qFormat/>
    <w:uiPriority w:val="99"/>
    <w:pPr>
      <w:spacing w:after="120"/>
    </w:pPr>
  </w:style>
  <w:style w:type="paragraph" w:styleId="4">
    <w:name w:val="Plain Text"/>
    <w:basedOn w:val="1"/>
    <w:qFormat/>
    <w:uiPriority w:val="0"/>
    <w:rPr>
      <w:rFonts w:ascii="宋体" w:hAnsi="Courier New"/>
      <w:szCs w:val="20"/>
    </w:r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1"/>
    <w:qFormat/>
    <w:uiPriority w:val="0"/>
    <w:pPr>
      <w:ind w:right="-334" w:rightChars="-159"/>
    </w:pPr>
    <w:rPr>
      <w:rFonts w:ascii="隶书" w:hAnsi="宋体" w:eastAsia="隶书"/>
      <w:color w:val="000000"/>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customStyle="1" w:styleId="15">
    <w:name w:val="表格文字"/>
    <w:basedOn w:val="1"/>
    <w:qFormat/>
    <w:uiPriority w:val="0"/>
    <w:pPr>
      <w:spacing w:before="25" w:after="25"/>
    </w:pPr>
    <w:rPr>
      <w:bCs/>
      <w:spacing w:val="10"/>
    </w:rPr>
  </w:style>
  <w:style w:type="paragraph" w:styleId="16">
    <w:name w:val="List Paragraph"/>
    <w:basedOn w:val="1"/>
    <w:qFormat/>
    <w:uiPriority w:val="34"/>
    <w:pPr>
      <w:ind w:firstLine="420" w:firstLineChars="200"/>
    </w:pPr>
  </w:style>
  <w:style w:type="character" w:customStyle="1" w:styleId="17">
    <w:name w:val="页眉 Char1"/>
    <w:basedOn w:val="13"/>
    <w:link w:val="7"/>
    <w:qFormat/>
    <w:uiPriority w:val="99"/>
    <w:rPr>
      <w:rFonts w:ascii="Times New Roman" w:hAnsi="Times New Roman" w:eastAsia="宋体" w:cs="Times New Roman"/>
      <w:sz w:val="18"/>
      <w:szCs w:val="18"/>
    </w:rPr>
  </w:style>
  <w:style w:type="character" w:customStyle="1" w:styleId="18">
    <w:name w:val="页脚 Char"/>
    <w:basedOn w:val="13"/>
    <w:link w:val="6"/>
    <w:qFormat/>
    <w:uiPriority w:val="99"/>
    <w:rPr>
      <w:rFonts w:ascii="Times New Roman" w:hAnsi="Times New Roman" w:eastAsia="宋体" w:cs="Times New Roman"/>
      <w:sz w:val="18"/>
      <w:szCs w:val="18"/>
    </w:rPr>
  </w:style>
  <w:style w:type="character" w:customStyle="1" w:styleId="19">
    <w:name w:val="批注框文本 Char"/>
    <w:basedOn w:val="13"/>
    <w:link w:val="5"/>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8">
    <w:name w:val="Default"/>
    <w:link w:val="3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9">
    <w:name w:val="apple-converted-space"/>
    <w:basedOn w:val="13"/>
    <w:qFormat/>
    <w:uiPriority w:val="0"/>
  </w:style>
  <w:style w:type="character" w:customStyle="1" w:styleId="30">
    <w:name w:val="页脚 Char2"/>
    <w:qFormat/>
    <w:uiPriority w:val="99"/>
    <w:rPr>
      <w:sz w:val="18"/>
      <w:szCs w:val="18"/>
    </w:rPr>
  </w:style>
  <w:style w:type="character" w:customStyle="1" w:styleId="31">
    <w:name w:val="正文文本 2 Char"/>
    <w:basedOn w:val="13"/>
    <w:link w:val="8"/>
    <w:qFormat/>
    <w:uiPriority w:val="0"/>
    <w:rPr>
      <w:rFonts w:ascii="隶书" w:hAnsi="宋体" w:eastAsia="隶书"/>
      <w:color w:val="000000"/>
      <w:kern w:val="2"/>
      <w:sz w:val="21"/>
      <w:szCs w:val="24"/>
    </w:rPr>
  </w:style>
  <w:style w:type="character" w:customStyle="1" w:styleId="32">
    <w:name w:val="Default Char"/>
    <w:link w:val="28"/>
    <w:qFormat/>
    <w:locked/>
    <w:uiPriority w:val="0"/>
    <w:rPr>
      <w:color w:val="000000"/>
      <w:sz w:val="24"/>
      <w:szCs w:val="24"/>
    </w:rPr>
  </w:style>
  <w:style w:type="character" w:customStyle="1" w:styleId="33">
    <w:name w:val="fontstyle01"/>
    <w:basedOn w:val="13"/>
    <w:autoRedefine/>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3211</Words>
  <Characters>3749</Characters>
  <Lines>16</Lines>
  <Paragraphs>4</Paragraphs>
  <TotalTime>1</TotalTime>
  <ScaleCrop>false</ScaleCrop>
  <LinksUpToDate>false</LinksUpToDate>
  <CharactersWithSpaces>3897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烟雨平生</cp:lastModifiedBy>
  <cp:lastPrinted>2019-05-13T03:19:00Z</cp:lastPrinted>
  <dcterms:modified xsi:type="dcterms:W3CDTF">2025-05-15T05:02:58Z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eyJoZGlkIjoiZGZkMGI4NjZiZGYzYjZlNTVkNWNkMDg5YTQzZmE4YmIiLCJ1c2VySWQiOiIxOTgxNTM1MjEifQ==</vt:lpwstr>
  </property>
</Properties>
</file>