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0898-2022-QEO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四川兴东升劳务有限责任公司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成都市青羊区日月大道一段978号3栋3单元17层1715、1716号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成都市双流区华阳镇天府大道南段石化家园3单元2407号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Q:资质范围类的建筑劳务分包</w:t>
            </w:r>
          </w:p>
          <w:p>
            <w:pPr>
              <w:rPr>
                <w:sz w:val="28"/>
                <w:szCs w:val="28"/>
              </w:rPr>
            </w:pPr>
            <w:r>
              <w:rPr>
                <w:sz w:val="28"/>
                <w:szCs w:val="28"/>
              </w:rPr>
              <w:t>E:资质范围类的建筑劳务分包所涉及场所的相关环境管理活动</w:t>
            </w:r>
          </w:p>
          <w:p>
            <w:pPr>
              <w:rPr>
                <w:sz w:val="28"/>
                <w:szCs w:val="28"/>
              </w:rPr>
            </w:pPr>
            <w:r>
              <w:rPr>
                <w:sz w:val="28"/>
                <w:szCs w:val="28"/>
              </w:rPr>
              <w:t>O:资质范围类的建筑劳务分包所涉及场所的相关职业健康安全管理活动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6"/>
            <w:bookmarkEnd w:id="8"/>
            <w:bookmarkStart w:id="9" w:name="阅卷人员签名3"/>
            <w:bookmarkEnd w:id="9"/>
            <w:bookmarkStart w:id="10" w:name="阅卷人员签名5"/>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3"/>
            <w:bookmarkEnd w:id="12"/>
            <w:bookmarkStart w:id="13" w:name="认证决定人员签名2"/>
            <w:bookmarkEnd w:id="13"/>
            <w:bookmarkStart w:id="14" w:name="认证决定人员签名5"/>
            <w:bookmarkEnd w:id="14"/>
            <w:bookmarkStart w:id="15" w:name="认证决定人员签名4"/>
            <w:bookmarkEnd w:id="15"/>
            <w:bookmarkStart w:id="16" w:name="认证决定人员签名6"/>
            <w:bookmarkEnd w:id="16"/>
            <w:bookmarkStart w:id="17" w:name="认证决定人员签名1"/>
            <w:r>
              <w:rPr>
                <w:sz w:val="28"/>
                <w:szCs w:val="28"/>
              </w:rPr>
              <w:drawing>
                <wp:inline distT="0" distB="0" distL="114300" distR="114300">
                  <wp:extent cx="1275080" cy="637540"/>
                  <wp:effectExtent l="0" t="0" r="1270" b="1016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1275080" cy="637540"/>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499C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343</Words>
  <Characters>370</Characters>
  <Lines>2</Lines>
  <Paragraphs>1</Paragraphs>
  <TotalTime>0</TotalTime>
  <ScaleCrop>false</ScaleCrop>
  <LinksUpToDate>false</LinksUpToDate>
  <CharactersWithSpaces>390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2022-08-02T02:02:57Z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4BCCF59AB8CD44C095F71739C5716488</vt:lpwstr>
  </property>
</Properties>
</file>