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090-2022-EnMs</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晋州市谊诚纤维素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石家庄市晋州市经济开发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石家庄市晋州市经济开发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nMS：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nMS:建筑材料用羟丙基甲基纤维素的生产和服务过程所涉及的能源管理活动</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4"/>
            <w:bookmarkEnd w:id="8"/>
            <w:bookmarkStart w:id="9" w:name="阅卷人员签名6"/>
            <w:bookmarkEnd w:id="9"/>
            <w:bookmarkStart w:id="10" w:name="阅卷人员签名3"/>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8.45pt;width:60pt;" filled="f" o:preferrelative="t" stroked="f" coordsize="21600,21600">
                  <v:path/>
                  <v:fill on="f" focussize="0,0"/>
                  <v:stroke on="f"/>
                  <v:imagedata r:id="rId5" o:title=""/>
                  <o:lock v:ext="edit" aspectratio="t"/>
                  <w10:wrap type="none"/>
                  <w10:anchorlock/>
                </v:shape>
              </w:pict>
            </w:r>
            <w:bookmarkEnd w:id="12"/>
            <w:bookmarkStart w:id="13" w:name="认证决定人员签名5"/>
            <w:bookmarkEnd w:id="13"/>
            <w:bookmarkStart w:id="14" w:name="认证决定人员签名6"/>
            <w:bookmarkEnd w:id="14"/>
            <w:bookmarkStart w:id="15" w:name="认证决定人员签名4"/>
            <w:bookmarkEnd w:id="15"/>
            <w:bookmarkStart w:id="16" w:name="认证决定人员签名3"/>
            <w:bookmarkEnd w:id="16"/>
            <w:bookmarkStart w:id="17" w:name="认证决定人员签名2"/>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3-8</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8737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3-08T01:02: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DA28F6824A47339C70A7AFB53EE4E0</vt:lpwstr>
  </property>
</Properties>
</file>