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0074-2019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湖北华阳汽车变速系统股份有限公司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湖北省郧县城关镇大桥南路2号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湖北省郧县城关镇大桥南路2号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MMS:换档机构、变速系统、制动系统、动力传递系统、铝镁合金压铸件与精密铸件制造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2021-11-02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