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CAF1">
      <w:pPr>
        <w:pStyle w:val="2"/>
        <w:spacing w:before="10"/>
        <w:rPr>
          <w:rFonts w:ascii="Times New Roman"/>
          <w:sz w:val="10"/>
        </w:rPr>
      </w:pPr>
    </w:p>
    <w:p w14:paraId="70CBD621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6A193C88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黑龙江昆禾技术有限公司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355D0925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测量管理体系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ISC-2024-1861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2025-12-11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0A4BC1E9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2025-12-11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4ED764A3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2026-06-11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060F98E3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65A156CC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45E0FB4A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508E9879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639CCC14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4A629D66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79226FD0">
      <w:pPr>
        <w:spacing w:line="360" w:lineRule="auto"/>
        <w:ind w:firstLine="354" w:firstLineChars="147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北京国标联合认证有限公司</w:t>
      </w:r>
    </w:p>
    <w:p w14:paraId="3B3FD494">
      <w:pPr>
        <w:spacing w:line="360" w:lineRule="auto"/>
        <w:ind w:right="-42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           2025-11-09</w:t>
      </w:r>
    </w:p>
    <w:p w14:paraId="477BC6F8">
      <w:pPr>
        <w:ind w:firstLine="3037" w:firstLineChars="796"/>
        <w:jc w:val="both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6710C003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3D5553CA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0BD8D36E">
      <w:pPr>
        <w:spacing w:line="360" w:lineRule="auto"/>
        <w:rPr>
          <w:rFonts w:cs="Tahoma"/>
          <w:b/>
          <w:color w:val="000000"/>
          <w:sz w:val="24"/>
        </w:rPr>
      </w:pPr>
    </w:p>
    <w:p w14:paraId="46656131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25177A8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0624F028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，我方希望将本次认证审核时间安排在：年月</w:t>
      </w:r>
      <w:r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14:paraId="0A805E92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0B54B776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57494CA8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；</w:t>
      </w:r>
    </w:p>
    <w:p w14:paraId="20D3DBBC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6F75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5A722A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7F626C2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5C7EC1F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374FBCDB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0364F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BAA4F9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639A9FA4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7E277A7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黑龙江昆禾技术有限公司</w:t>
            </w:r>
          </w:p>
        </w:tc>
        <w:tc>
          <w:tcPr>
            <w:tcW w:w="3797" w:type="dxa"/>
            <w:vAlign w:val="center"/>
          </w:tcPr>
          <w:p w14:paraId="66773934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717F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53540D9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7F28162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6199F91F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72D6230F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黑龙江省大庆市龙凤区四海街2号院内33号房(申报承诺)</w:t>
            </w:r>
          </w:p>
        </w:tc>
        <w:tc>
          <w:tcPr>
            <w:tcW w:w="3797" w:type="dxa"/>
            <w:vAlign w:val="center"/>
          </w:tcPr>
          <w:p w14:paraId="5447ABD8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7A3B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624076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7FABA3EC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3CEA4160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黑龙江省大庆市龙凤区四海街2号院内33号房(申报承诺)</w:t>
            </w:r>
          </w:p>
        </w:tc>
        <w:tc>
          <w:tcPr>
            <w:tcW w:w="3797" w:type="dxa"/>
            <w:vAlign w:val="center"/>
          </w:tcPr>
          <w:p w14:paraId="4436A11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771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7709D8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6536BF61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3BA24216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97" w:type="dxa"/>
            <w:vAlign w:val="center"/>
          </w:tcPr>
          <w:p w14:paraId="786DDEAB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7B91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26BEA2B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5BCE665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2FE412D7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M: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石油钻采专用设备及配件(含滤芯滤网、接箍、短节、防垢剂集中加药装置、单井多相流量监测装置、储油装置、抽油机及配件、模块化加热装置、除垢装置、抽油杆综合保护器、手持终端自动定位保护器、抽油机传动系统智能调整装置、机床配件、试采工具、井口装置、采油树、螺杆泵驱动装置、碳纤维连续抽油杆)、泵(螺杆泵、潜油直驱)、金属阀门(限井口装置和采油树用)、石油专用仪器仪表(含流量调节器、机采井智能诊断辅助装置)、UPS 电源、高压开关柜、控制房变频控制拒、配电开关控制设备、工业自动控制系统装置(含光伏储能控制装置、新能源充电控制装置、太阳能发电控制装置)、环保水处理设备、罗茨鼓风机、发电机、冷却塔设备、电站辅助设备、尿素水解器的生产(资质许可要求除外)，石油钻采专用设备及配件(含油管螺纹)的加工，油管修复，石油钻采专用设备、机电设备、水处理设备、电站辅助设备、冷却塔设备及配件的维修，在线监测系统设备的维修及服务，</w:t>
            </w:r>
          </w:p>
          <w:p w14:paraId="25304369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499845E2">
            <w:pPr>
              <w:rPr>
                <w:rFonts w:hint="eastAsia"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  <w:p w14:paraId="74A7D988">
            <w:pPr>
              <w:rPr>
                <w:rFonts w:hint="eastAsia"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auto"/>
                <w:sz w:val="21"/>
                <w:szCs w:val="21"/>
              </w:rPr>
              <w:t>石油钻采专用设备及配件（含滤芯滤网、接箍、短节、防垢剂集中加药装置、单井多相流量监测装置、储油装置、抽油机及配件、模块化加热装置、除垢装置、抽油杆综合保护器、手持终端自动定位保护器、抽油机传动系统智能调整装置、机床配件、试采工具、井口装置、采油树、螺杆泵驱动装置、碳纤维连续抽油杆）、泵（螺杆泵、潜油直驱）、金属阀门（限井口装置和采油树用）、石油专用仪器仪表（含流量调节器、机采井智能诊断辅助装置）、UPS电源、高压开关柜、</w:t>
            </w:r>
            <w:r>
              <w:rPr>
                <w:rFonts w:hint="eastAsia" w:cs="Tahoma"/>
                <w:color w:val="C00000"/>
                <w:sz w:val="21"/>
                <w:szCs w:val="21"/>
                <w:lang w:val="en-US" w:eastAsia="zh-CN"/>
              </w:rPr>
              <w:t>控制房</w:t>
            </w:r>
            <w:r>
              <w:rPr>
                <w:rFonts w:hint="eastAsia" w:cs="Tahoma"/>
                <w:color w:val="C00000"/>
                <w:sz w:val="21"/>
                <w:szCs w:val="21"/>
              </w:rPr>
              <w:t>变频控制柜、</w:t>
            </w:r>
            <w:r>
              <w:rPr>
                <w:rFonts w:hint="eastAsia" w:cs="Tahoma"/>
                <w:color w:val="auto"/>
                <w:sz w:val="21"/>
                <w:szCs w:val="21"/>
              </w:rPr>
              <w:t>配电开关控制设备、工业自动控制系统装置（含光伏储能控制装置、新能源充电控制装置、太阳能发电控制装置）、环保水处理设备、罗茨鼓风机、发电机、冷却塔设备、电站辅助设备、尿素水解器的生产（资质许可要求除外），石油钻采专用设备及配件（含油管螺纹）</w:t>
            </w:r>
            <w:r>
              <w:rPr>
                <w:rFonts w:hint="eastAsia" w:cs="Tahom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/>
                <w:color w:val="C00000"/>
                <w:sz w:val="21"/>
                <w:szCs w:val="21"/>
                <w:lang w:val="en-US" w:eastAsia="zh-CN"/>
              </w:rPr>
              <w:t>工矿配件</w:t>
            </w:r>
            <w:bookmarkStart w:id="9" w:name="_GoBack"/>
            <w:bookmarkEnd w:id="9"/>
            <w:r>
              <w:rPr>
                <w:rFonts w:hint="eastAsia" w:cs="Tahoma"/>
                <w:color w:val="auto"/>
                <w:sz w:val="21"/>
                <w:szCs w:val="21"/>
              </w:rPr>
              <w:t>的加工，油管修复，石油钻采专用设备、机电设备、水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处理设备、电站辅助设备、冷却塔设备及配件的维修，在线监测系统设备的维修及服务</w:t>
            </w:r>
          </w:p>
        </w:tc>
      </w:tr>
      <w:tr w14:paraId="0283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EA8400B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F0CBB97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182E66E8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□无变化； </w:t>
            </w:r>
          </w:p>
          <w:p w14:paraId="20EFE2C7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4C239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F53DAB0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8CD580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44F3F453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72149C17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0A3F9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D80C07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68085283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4B816A9E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3AD61DFF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25D8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5C72F4E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2E695D81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14:paraId="66FC8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3091429F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21A19F19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1644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50A60C0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2F94D4D7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32A36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0198E563">
            <w:pPr>
              <w:spacing w:line="48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</w:p>
          <w:p w14:paraId="66705A55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721EB23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35617547">
      <w:pPr>
        <w:spacing w:line="400" w:lineRule="exact"/>
        <w:rPr>
          <w:szCs w:val="21"/>
        </w:rPr>
      </w:pPr>
    </w:p>
    <w:p w14:paraId="3C9768C8">
      <w:pPr>
        <w:spacing w:line="400" w:lineRule="exact"/>
        <w:rPr>
          <w:szCs w:val="21"/>
        </w:rPr>
      </w:pPr>
    </w:p>
    <w:p w14:paraId="7160B544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315E314F">
      <w:pPr>
        <w:spacing w:line="360" w:lineRule="auto"/>
        <w:rPr>
          <w:szCs w:val="21"/>
        </w:rPr>
      </w:pPr>
    </w:p>
    <w:p w14:paraId="4758A2C6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4C5B6BAE">
      <w:pPr>
        <w:rPr>
          <w:sz w:val="24"/>
          <w:szCs w:val="24"/>
          <w:lang w:val="en-US"/>
        </w:rPr>
      </w:pPr>
    </w:p>
    <w:p w14:paraId="6F1702ED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66C9A300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9CF7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2C24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5214D">
    <w:pPr>
      <w:pStyle w:val="3"/>
      <w:jc w:val="center"/>
    </w:pPr>
  </w:p>
  <w:p w14:paraId="0C53101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E0FD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B9077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 o:gfxdata="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nsFXZAAAADAEAAA8AAAAAAAAAAQAgAAAAIgAAAGRycy9kb3ducmV2LnhtbFBL&#10;AQIUABQAAAAIAIdO4kDmE7CP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AB9077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2BA03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 o:gfxdata="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YWa7aAAAADAEAAA8AAAAAAAAAAQAgAAAAIgAAAGRycy9kb3ducmV2LnhtbFBL&#10;AQIUABQAAAAIAIdO4kCCfAci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C2BA03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DF736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 o:gfxdata="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5r3d2AAAAAkBAAAPAAAAAAAAAAEAIAAAACIAAABkcnMvZG93bnJldi54bWxQSwEC&#10;FAAUAAAACACHTuJAQz6P5b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ADF736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D2F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C3A6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CABFC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 o:gfxdata="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tMCNkAAAAMAQAADwAAAAAAAAABACAAAAAiAAAAZHJzL2Rvd25yZXYueG1sUEsBAhQA&#10;FAAAAAgAh07iQJSIFvK4AQAAcg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5CABFC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A07A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 o:gfxdata="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Dg3xdgAAAAMAQAADwAAAAAAAAABACAAAAAiAAAAZHJzL2Rvd25yZXYueG1sUEsB&#10;AhQAFAAAAAgAh07iQOG/adC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1A07A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BB6F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 o:gfxdata="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S9is2AAAAAoBAAAPAAAAAAAAAAEAIAAAACIAAABkcnMvZG93bnJldi54bWxQSwEC&#10;FAAUAAAACACHTuJAB1bZK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32BB6F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7F268D6"/>
    <w:rsid w:val="1C223F6C"/>
    <w:rsid w:val="1F2D1BC7"/>
    <w:rsid w:val="278C389C"/>
    <w:rsid w:val="29820AB2"/>
    <w:rsid w:val="2A186810"/>
    <w:rsid w:val="2ADB029A"/>
    <w:rsid w:val="2BD26193"/>
    <w:rsid w:val="2C77062D"/>
    <w:rsid w:val="2D3C366E"/>
    <w:rsid w:val="30E56588"/>
    <w:rsid w:val="40291830"/>
    <w:rsid w:val="41A3342D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73A488A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6C5D4FCB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526</Words>
  <Characters>644</Characters>
  <Lines>10</Lines>
  <Paragraphs>3</Paragraphs>
  <TotalTime>0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A樱洁</cp:lastModifiedBy>
  <cp:lastPrinted>2025-11-11T06:07:00Z</cp:lastPrinted>
  <dcterms:modified xsi:type="dcterms:W3CDTF">2025-11-28T03:19:14Z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eyJoZGlkIjoiYWRjZGZiMWRlMjcxMTI2YWQ3MWVkMTVjMTcyZTdkOTkiLCJ1c2VySWQiOiIzNDAxMDgyMTMifQ==</vt:lpwstr>
  </property>
</Properties>
</file>