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20675-2025-QEO-Q_24959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湖南绿世纪环保科技有限公司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长沙市雨花区金海路128号领智工业园A2栋502室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湖南省长沙市雨花区金海路128号领智工业园A2栋502室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范围变化+人数变更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E:固定污染源烟气排放连续监测设备销售所涉及场所的相关环境管理活动</w:t>
            </w:r>
          </w:p>
          <w:p>
            <w:pPr>
              <w:rPr>
                <w:rFonts w:hint="eastAsia"/>
                <w:szCs w:val="21"/>
              </w:rPr>
            </w:pPr>
            <w:r>
              <w:rPr>
                <w:rFonts w:hint="eastAsia"/>
                <w:szCs w:val="21"/>
              </w:rPr>
              <w:t>S:固定污染源烟气排放连续监测设备销售所涉及场所的相关职业健康安全管理活动</w:t>
            </w:r>
          </w:p>
          <w:p>
            <w:pPr>
              <w:rPr>
                <w:rFonts w:hint="eastAsia"/>
                <w:szCs w:val="21"/>
              </w:rPr>
            </w:pPr>
            <w:r>
              <w:rPr>
                <w:rFonts w:hint="eastAsia"/>
                <w:szCs w:val="21"/>
              </w:rPr>
              <w:t>Q:固定污染源烟气排放连续监测设备销售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444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474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