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10359-2025-SE-S_24385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江西阳光安全设备集团有限公司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江西省樟树市四特大道305号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江西省樟树市四特大道305号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FW:再认证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手动密集架、智能密集架、文物密集架、无轨密集架、博物馆珍藏柜、智能物证架、钢木书架、智能书架、旋转书架、拆装式书架、钢木期刊架、重（轻）型货架、防磁柜、底图柜、文件柜、办公家具、教育设备的生产所涉及的售后服务成熟度（配送、安装、维修、退换货、客诉处理）( 十星级 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2025-05-08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336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759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