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11598-2024-SA-S_22200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赣州市南康区康企家居有限公司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江西省赣州市南康区镜坝工业园中意投互联网家具产业园 16 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江西省赣州市南康区镜坝工业园中意投互联网家具产业园 16 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FW:补充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木制（质）家具、人造板家具、板木家具、实木家具、钢木家具、金属（钢制）家具、钢塑家具、软体家具（办公家具、校用家具（教学家具）、公寓家具（宿舍家具）、图书馆家具、法院家具、幼儿家具、酒店家具、屏风家具、医疗（医用）家具、实验室家具、定制家具）的开发设计、生产、销售所涉及的售后服务（销售的技术支持、配送安装、维修服务、退换货、投诉处理）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2025-04-08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189996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18734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