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1132-2021-MMS_10234</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中国石油天然气股份有限公司宁夏石化分公司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银川市西夏区北京西路1338号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银川市西夏区北京西路1338号/西夏区文昌南街</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MMS:监督4</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MMS:尿素、聚丙烯、成品油（汽、柴油、航煤）、液化气产品生产和销售等过程及公司测量管理体系涉及相关测量设备及测量过程的控制和管理。</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陈爱萍、</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2026-01-30</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481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328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