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21043-2024-MMS_22331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中稀（凉山）稀土有限公司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四川省冕宁县复兴镇稀土工业园区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MMS:氟碳铈镧矿精矿、稀土盐类和稀土氧化物、镨钕合金、钕铁硼速凝薄片合金、萤石和重晶石粉的生产及相关管理、服务活动（覆盖的组织、场所和范围详见证书附件）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15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44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