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10013-2025-SA-S_22658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陕西智飞旺天科技发展有限公司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陕西省西咸新区沣西新城天元路1366号秦创原翱翔大厦0701室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陕西省西咸新区沣西新城天元路1366号秦创原翱翔大厦0701室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S:无人机销售、租赁及操作培训技术服务；工程机械设备租赁的售后服务（五星级）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2025-01-22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1246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878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