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22A13DE4">
      <w:pPr>
        <w:jc w:val="center"/>
        <w:rPr>
          <w:sz w:val="32"/>
          <w:szCs w:val="32"/>
        </w:rPr>
      </w:pPr>
      <w:r>
        <w:rPr>
          <w:rFonts w:hint="eastAsia"/>
          <w:sz w:val="32"/>
          <w:szCs w:val="32"/>
        </w:rPr>
        <w:t>认证决定报告报告书（管理体系）</w:t>
      </w:r>
    </w:p>
    <w:tbl>
      <w:tblPr>
        <w:tblStyle w:val="TableGrid"/>
        <w:tblW w:w="10031"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1526"/>
        <w:gridCol w:w="5098"/>
        <w:gridCol w:w="1050"/>
        <w:gridCol w:w="2357"/>
      </w:tblGrid>
      <w:tr w14:paraId="38B08957">
        <w:tblPrEx>
          <w:tblW w:w="10031"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c>
          <w:tcPr>
            <w:tcW w:w="1526" w:type="dxa"/>
            <w:vAlign w:val="center"/>
          </w:tcPr>
          <w:p w14:paraId="4CA98706">
            <w:pPr>
              <w:rPr>
                <w:szCs w:val="21"/>
              </w:rPr>
            </w:pPr>
            <w:r>
              <w:rPr>
                <w:rFonts w:hint="eastAsia"/>
                <w:szCs w:val="21"/>
              </w:rPr>
              <w:t>项目编号</w:t>
            </w:r>
          </w:p>
        </w:tc>
        <w:tc>
          <w:tcPr>
            <w:tcW w:w="8505" w:type="dxa"/>
            <w:gridSpan w:val="3"/>
          </w:tcPr>
          <w:p w14:paraId="4F09DE48">
            <w:pPr>
              <w:rPr>
                <w:szCs w:val="21"/>
              </w:rPr>
            </w:pPr>
            <w:bookmarkStart w:id="0" w:name="合同编号"/>
            <w:bookmarkEnd w:id="0"/>
            <w:r>
              <w:rPr>
                <w:rFonts w:hint="eastAsia"/>
                <w:szCs w:val="21"/>
              </w:rPr>
              <w:t>20856-2024-QEO-Q_21331</w:t>
            </w:r>
          </w:p>
        </w:tc>
      </w:tr>
      <w:tr w14:paraId="0EFFAB9A">
        <w:tblPrEx>
          <w:tblW w:w="10031" w:type="dxa"/>
          <w:tblInd w:w="0" w:type="dxa"/>
          <w:tblLayout w:type="fixed"/>
          <w:tblCellMar>
            <w:top w:w="0" w:type="dxa"/>
            <w:left w:w="108" w:type="dxa"/>
            <w:bottom w:w="0" w:type="dxa"/>
            <w:right w:w="108" w:type="dxa"/>
          </w:tblCellMar>
        </w:tblPrEx>
        <w:tc>
          <w:tcPr>
            <w:tcW w:w="1526" w:type="dxa"/>
            <w:vAlign w:val="center"/>
          </w:tcPr>
          <w:p w14:paraId="49477DF9">
            <w:pPr>
              <w:rPr>
                <w:szCs w:val="21"/>
              </w:rPr>
            </w:pPr>
            <w:r>
              <w:rPr>
                <w:rFonts w:hint="eastAsia"/>
                <w:szCs w:val="21"/>
              </w:rPr>
              <w:t>受审核方名称</w:t>
            </w:r>
          </w:p>
        </w:tc>
        <w:tc>
          <w:tcPr>
            <w:tcW w:w="8505" w:type="dxa"/>
            <w:gridSpan w:val="3"/>
          </w:tcPr>
          <w:p w14:paraId="0225FA33">
            <w:pPr>
              <w:rPr>
                <w:szCs w:val="21"/>
              </w:rPr>
            </w:pPr>
            <w:bookmarkStart w:id="1" w:name="组织名称"/>
            <w:bookmarkEnd w:id="1"/>
            <w:r>
              <w:rPr>
                <w:rFonts w:hint="eastAsia"/>
                <w:szCs w:val="21"/>
              </w:rPr>
              <w:t>青岛安瑞泰消防工程技术有限公司</w:t>
            </w:r>
          </w:p>
        </w:tc>
      </w:tr>
      <w:tr w14:paraId="6AC0EABD">
        <w:tblPrEx>
          <w:tblW w:w="10031" w:type="dxa"/>
          <w:tblInd w:w="0" w:type="dxa"/>
          <w:tblLayout w:type="fixed"/>
          <w:tblCellMar>
            <w:top w:w="0" w:type="dxa"/>
            <w:left w:w="108" w:type="dxa"/>
            <w:bottom w:w="0" w:type="dxa"/>
            <w:right w:w="108" w:type="dxa"/>
          </w:tblCellMar>
        </w:tblPrEx>
        <w:tc>
          <w:tcPr>
            <w:tcW w:w="1526" w:type="dxa"/>
            <w:vAlign w:val="center"/>
          </w:tcPr>
          <w:p w14:paraId="7C25CBC7">
            <w:pPr>
              <w:rPr>
                <w:szCs w:val="21"/>
              </w:rPr>
            </w:pPr>
            <w:r>
              <w:rPr>
                <w:rFonts w:hint="eastAsia"/>
                <w:szCs w:val="21"/>
              </w:rPr>
              <w:t>注册地址</w:t>
            </w:r>
          </w:p>
        </w:tc>
        <w:tc>
          <w:tcPr>
            <w:tcW w:w="8505" w:type="dxa"/>
            <w:gridSpan w:val="3"/>
          </w:tcPr>
          <w:p w14:paraId="3D45F1B5">
            <w:pPr>
              <w:rPr>
                <w:szCs w:val="21"/>
              </w:rPr>
            </w:pPr>
            <w:bookmarkStart w:id="2" w:name="注册地址"/>
            <w:bookmarkEnd w:id="2"/>
            <w:r>
              <w:rPr>
                <w:rFonts w:hint="eastAsia"/>
                <w:szCs w:val="21"/>
              </w:rPr>
              <w:t>山东省青岛市黄岛区阅武路2218号1栋网点</w:t>
            </w:r>
          </w:p>
        </w:tc>
      </w:tr>
      <w:tr w14:paraId="33557FE5">
        <w:tblPrEx>
          <w:tblW w:w="10031" w:type="dxa"/>
          <w:tblInd w:w="0" w:type="dxa"/>
          <w:tblLayout w:type="fixed"/>
          <w:tblCellMar>
            <w:top w:w="0" w:type="dxa"/>
            <w:left w:w="108" w:type="dxa"/>
            <w:bottom w:w="0" w:type="dxa"/>
            <w:right w:w="108" w:type="dxa"/>
          </w:tblCellMar>
        </w:tblPrEx>
        <w:tc>
          <w:tcPr>
            <w:tcW w:w="1526" w:type="dxa"/>
            <w:vAlign w:val="center"/>
          </w:tcPr>
          <w:p w14:paraId="567745CA">
            <w:pPr>
              <w:rPr>
                <w:szCs w:val="21"/>
              </w:rPr>
            </w:pPr>
            <w:r>
              <w:rPr>
                <w:rFonts w:hint="eastAsia"/>
                <w:szCs w:val="21"/>
              </w:rPr>
              <w:t>经营地址</w:t>
            </w:r>
          </w:p>
        </w:tc>
        <w:tc>
          <w:tcPr>
            <w:tcW w:w="8505" w:type="dxa"/>
            <w:gridSpan w:val="3"/>
          </w:tcPr>
          <w:p w14:paraId="34ED08A0">
            <w:pPr>
              <w:rPr>
                <w:rFonts w:hint="eastAsia"/>
                <w:szCs w:val="21"/>
              </w:rPr>
            </w:pPr>
            <w:bookmarkStart w:id="3" w:name="生产地址"/>
            <w:bookmarkEnd w:id="3"/>
            <w:r>
              <w:rPr>
                <w:rFonts w:hint="eastAsia"/>
                <w:szCs w:val="21"/>
              </w:rPr>
              <w:t>山东省青岛市黄岛区阅武路2218号1栋网点</w:t>
            </w:r>
          </w:p>
          <w:p w14:paraId="41C269BC"/>
        </w:tc>
      </w:tr>
      <w:tr w14:paraId="245B07CD">
        <w:tblPrEx>
          <w:tblW w:w="10031" w:type="dxa"/>
          <w:tblInd w:w="0" w:type="dxa"/>
          <w:tblLayout w:type="fixed"/>
          <w:tblCellMar>
            <w:top w:w="0" w:type="dxa"/>
            <w:left w:w="108" w:type="dxa"/>
            <w:bottom w:w="0" w:type="dxa"/>
            <w:right w:w="108" w:type="dxa"/>
          </w:tblCellMar>
        </w:tblPrEx>
        <w:tc>
          <w:tcPr>
            <w:tcW w:w="1526" w:type="dxa"/>
            <w:vAlign w:val="center"/>
          </w:tcPr>
          <w:p w14:paraId="1704EEA3">
            <w:pPr>
              <w:rPr>
                <w:szCs w:val="21"/>
              </w:rPr>
            </w:pPr>
            <w:r>
              <w:rPr>
                <w:rFonts w:hint="eastAsia"/>
                <w:szCs w:val="21"/>
              </w:rPr>
              <w:t>审核类型</w:t>
            </w:r>
          </w:p>
        </w:tc>
        <w:tc>
          <w:tcPr>
            <w:tcW w:w="8505" w:type="dxa"/>
            <w:gridSpan w:val="3"/>
          </w:tcPr>
          <w:p w14:paraId="23A55A36">
            <w:pPr>
              <w:rPr>
                <w:rFonts w:eastAsiaTheme="minorEastAsia" w:hint="default"/>
                <w:szCs w:val="21"/>
                <w:lang w:val="en-US" w:eastAsia="zh-CN"/>
              </w:rPr>
            </w:pPr>
            <w:bookmarkStart w:id="4" w:name="_GoBack"/>
            <w:r>
              <w:rPr>
                <w:rFonts w:hint="eastAsia"/>
                <w:szCs w:val="21"/>
              </w:rPr>
              <w:t>E:监查1;S:监查1;Q:监查1</w:t>
            </w:r>
            <w:r>
              <w:rPr>
                <w:rFonts w:hint="eastAsia"/>
                <w:szCs w:val="21"/>
                <w:lang w:val="en-US" w:eastAsia="zh-CN"/>
              </w:rPr>
              <w:t xml:space="preserve">  </w:t>
            </w:r>
            <w:r>
              <w:rPr>
                <w:rFonts w:hint="eastAsia"/>
                <w:szCs w:val="21"/>
              </w:rPr>
              <w:t>认可标志变更</w:t>
            </w:r>
            <w:r>
              <w:rPr>
                <w:rFonts w:hint="eastAsia"/>
                <w:szCs w:val="21"/>
                <w:lang w:val="en-US" w:eastAsia="zh-CN"/>
              </w:rPr>
              <w:t xml:space="preserve">  暂停恢复：</w:t>
            </w:r>
            <w:r>
              <w:rPr>
                <w:rFonts w:hint="eastAsia"/>
                <w:szCs w:val="21"/>
              </w:rPr>
              <w:t>否</w:t>
            </w:r>
            <w:bookmarkEnd w:id="4"/>
          </w:p>
        </w:tc>
      </w:tr>
      <w:tr w14:paraId="541047DC">
        <w:tblPrEx>
          <w:tblW w:w="10031" w:type="dxa"/>
          <w:tblInd w:w="0" w:type="dxa"/>
          <w:tblLayout w:type="fixed"/>
          <w:tblCellMar>
            <w:top w:w="0" w:type="dxa"/>
            <w:left w:w="108" w:type="dxa"/>
            <w:bottom w:w="0" w:type="dxa"/>
            <w:right w:w="108" w:type="dxa"/>
          </w:tblCellMar>
        </w:tblPrEx>
        <w:tc>
          <w:tcPr>
            <w:tcW w:w="1526" w:type="dxa"/>
            <w:vAlign w:val="center"/>
          </w:tcPr>
          <w:p w14:paraId="35E59955">
            <w:pPr>
              <w:rPr>
                <w:szCs w:val="21"/>
              </w:rPr>
            </w:pPr>
            <w:r>
              <w:rPr>
                <w:rFonts w:hint="eastAsia"/>
                <w:szCs w:val="21"/>
              </w:rPr>
              <w:t>认证范围</w:t>
            </w:r>
          </w:p>
        </w:tc>
        <w:tc>
          <w:tcPr>
            <w:tcW w:w="8505" w:type="dxa"/>
            <w:gridSpan w:val="3"/>
          </w:tcPr>
          <w:p w14:paraId="3B0DC5CD">
            <w:pPr>
              <w:rPr>
                <w:szCs w:val="21"/>
              </w:rPr>
            </w:pPr>
            <w:bookmarkStart w:id="5" w:name="审核范围"/>
            <w:bookmarkEnd w:id="5"/>
            <w:r>
              <w:rPr>
                <w:rFonts w:hint="eastAsia"/>
                <w:szCs w:val="21"/>
              </w:rPr>
              <w:t>E:资质范围内的消防技术服务所涉及场所的相关环境管理活动</w:t>
            </w:r>
          </w:p>
          <w:p>
            <w:pPr>
              <w:rPr>
                <w:rFonts w:hint="eastAsia"/>
                <w:szCs w:val="21"/>
              </w:rPr>
            </w:pPr>
            <w:r>
              <w:rPr>
                <w:rFonts w:hint="eastAsia"/>
                <w:szCs w:val="21"/>
              </w:rPr>
              <w:t>S:资质范围内的消防技术服务所涉及场所的相关职业健康安全管理活动</w:t>
            </w:r>
          </w:p>
          <w:p>
            <w:pPr>
              <w:rPr>
                <w:rFonts w:hint="eastAsia"/>
                <w:szCs w:val="21"/>
              </w:rPr>
            </w:pPr>
            <w:r>
              <w:rPr>
                <w:rFonts w:hint="eastAsia"/>
                <w:szCs w:val="21"/>
              </w:rPr>
              <w:t>Q:资质范围内的消防技术服务</w:t>
            </w:r>
          </w:p>
          <w:p>
            <w:pPr>
              <w:rPr>
                <w:rFonts w:hint="eastAsia"/>
                <w:szCs w:val="21"/>
              </w:rPr>
            </w:pPr>
          </w:p>
        </w:tc>
      </w:tr>
      <w:tr w14:paraId="5E2BB1E6">
        <w:tblPrEx>
          <w:tblW w:w="10031" w:type="dxa"/>
          <w:tblInd w:w="0" w:type="dxa"/>
          <w:tblLayout w:type="fixed"/>
          <w:tblCellMar>
            <w:top w:w="0" w:type="dxa"/>
            <w:left w:w="108" w:type="dxa"/>
            <w:bottom w:w="0" w:type="dxa"/>
            <w:right w:w="108" w:type="dxa"/>
          </w:tblCellMar>
        </w:tblPrEx>
        <w:tc>
          <w:tcPr>
            <w:tcW w:w="1526" w:type="dxa"/>
            <w:vAlign w:val="center"/>
          </w:tcPr>
          <w:p w14:paraId="1638FBDC">
            <w:pPr>
              <w:rPr>
                <w:szCs w:val="21"/>
              </w:rPr>
            </w:pPr>
            <w:r>
              <w:rPr>
                <w:rFonts w:hint="eastAsia"/>
                <w:szCs w:val="21"/>
              </w:rPr>
              <w:t>评定内容：</w:t>
            </w:r>
          </w:p>
        </w:tc>
        <w:tc>
          <w:tcPr>
            <w:tcW w:w="8505" w:type="dxa"/>
            <w:gridSpan w:val="3"/>
          </w:tcPr>
          <w:p w14:paraId="227FFB0F">
            <w:pPr>
              <w:rPr>
                <w:szCs w:val="21"/>
              </w:rPr>
            </w:pPr>
            <w:r>
              <w:rPr>
                <w:rFonts w:hint="eastAsia"/>
                <w:szCs w:val="21"/>
              </w:rPr>
              <w:t>1.认证范围确定：</w:t>
            </w:r>
            <w:r>
              <w:rPr>
                <w:rFonts w:ascii="Wingdings 2" w:hAnsi="Wingdings 2"/>
                <w:szCs w:val="21"/>
              </w:rPr>
              <w:sym w:font="Wingdings 2" w:char="F0BE"/>
            </w:r>
            <w:r>
              <w:rPr>
                <w:rFonts w:hint="eastAsia"/>
                <w:szCs w:val="21"/>
              </w:rPr>
              <w:t xml:space="preserve">合理     </w:t>
            </w:r>
          </w:p>
          <w:p w14:paraId="46CDCFDD">
            <w:pPr>
              <w:rPr>
                <w:szCs w:val="21"/>
              </w:rPr>
            </w:pPr>
            <w:r>
              <w:rPr>
                <w:rFonts w:hint="eastAsia"/>
                <w:szCs w:val="21"/>
              </w:rPr>
              <w:t>2.审核计划：</w:t>
            </w:r>
          </w:p>
          <w:p w14:paraId="0A59AFB7">
            <w:pPr>
              <w:rPr>
                <w:szCs w:val="21"/>
              </w:rPr>
            </w:pPr>
            <w:r>
              <w:rPr>
                <w:rFonts w:hint="eastAsia"/>
                <w:szCs w:val="21"/>
              </w:rPr>
              <w:t xml:space="preserve">人日符合要求：符合 </w:t>
            </w:r>
            <w:r>
              <w:rPr>
                <w:rFonts w:ascii="Wingdings 2" w:hAnsi="Wingdings 2"/>
                <w:szCs w:val="21"/>
              </w:rPr>
              <w:sym w:font="Wingdings 2" w:char="F0BE"/>
            </w:r>
            <w:r>
              <w:rPr>
                <w:rFonts w:hint="eastAsia"/>
                <w:szCs w:val="21"/>
              </w:rPr>
              <w:t xml:space="preserve">    不符合□  </w:t>
            </w:r>
          </w:p>
          <w:p w14:paraId="124A6611">
            <w:pPr>
              <w:rPr>
                <w:szCs w:val="21"/>
              </w:rPr>
            </w:pPr>
            <w:r>
              <w:rPr>
                <w:rFonts w:hint="eastAsia"/>
                <w:szCs w:val="21"/>
              </w:rPr>
              <w:t>专业人员能力满足全部专业小类：符合</w:t>
            </w:r>
            <w:r>
              <w:rPr>
                <w:rFonts w:ascii="Wingdings 2" w:hAnsi="Wingdings 2"/>
                <w:szCs w:val="21"/>
              </w:rPr>
              <w:sym w:font="Wingdings 2" w:char="F0BE"/>
            </w:r>
            <w:r>
              <w:rPr>
                <w:rFonts w:hint="eastAsia"/>
                <w:szCs w:val="21"/>
              </w:rPr>
              <w:t xml:space="preserve">    不符合□    </w:t>
            </w:r>
          </w:p>
          <w:p w14:paraId="69585DB5">
            <w:pPr>
              <w:rPr>
                <w:rFonts w:eastAsiaTheme="minorEastAsia" w:hint="eastAsia"/>
                <w:szCs w:val="21"/>
                <w:lang w:eastAsia="zh-CN"/>
              </w:rPr>
            </w:pPr>
            <w:r>
              <w:rPr>
                <w:rFonts w:hint="eastAsia"/>
                <w:szCs w:val="21"/>
              </w:rPr>
              <w:t xml:space="preserve">安排专业人员审核专业部门及要素：符合 </w:t>
            </w:r>
            <w:r>
              <w:rPr>
                <w:rFonts w:ascii="Wingdings 2" w:hAnsi="Wingdings 2"/>
                <w:szCs w:val="21"/>
              </w:rPr>
              <w:sym w:font="Wingdings 2" w:char="F0BE"/>
            </w:r>
            <w:r>
              <w:rPr>
                <w:rFonts w:hint="eastAsia"/>
                <w:szCs w:val="21"/>
              </w:rPr>
              <w:t xml:space="preserve">    不符合</w:t>
            </w:r>
            <w:r>
              <w:rPr>
                <w:rFonts w:hint="eastAsia"/>
                <w:szCs w:val="21"/>
                <w:lang w:eastAsia="zh-CN"/>
              </w:rPr>
              <w:t>☑</w:t>
            </w:r>
          </w:p>
          <w:p w14:paraId="78DD1F44">
            <w:pPr>
              <w:rPr>
                <w:szCs w:val="21"/>
              </w:rPr>
            </w:pPr>
            <w:r>
              <w:rPr>
                <w:rFonts w:hint="eastAsia"/>
                <w:szCs w:val="21"/>
              </w:rPr>
              <w:t xml:space="preserve">实习审核员/技术专家未独立审核：符合 </w:t>
            </w:r>
            <w:r>
              <w:rPr>
                <w:rFonts w:ascii="Wingdings 2" w:hAnsi="Wingdings 2"/>
                <w:szCs w:val="21"/>
              </w:rPr>
              <w:sym w:font="Wingdings 2" w:char="F0BE"/>
            </w:r>
            <w:r>
              <w:rPr>
                <w:rFonts w:hint="eastAsia"/>
                <w:szCs w:val="21"/>
              </w:rPr>
              <w:t xml:space="preserve">    不符合□      </w:t>
            </w:r>
          </w:p>
          <w:p w14:paraId="5D6CFC4F">
            <w:pPr>
              <w:rPr>
                <w:szCs w:val="21"/>
              </w:rPr>
            </w:pPr>
            <w:r>
              <w:rPr>
                <w:rFonts w:hint="eastAsia"/>
                <w:szCs w:val="21"/>
              </w:rPr>
              <w:t xml:space="preserve">场所和要素的抽样符合要求：符合 </w:t>
            </w:r>
            <w:r>
              <w:rPr>
                <w:rFonts w:ascii="Wingdings 2" w:hAnsi="Wingdings 2"/>
                <w:szCs w:val="21"/>
              </w:rPr>
              <w:sym w:font="Wingdings 2" w:char="F0BE"/>
            </w:r>
            <w:r>
              <w:rPr>
                <w:rFonts w:hint="eastAsia"/>
                <w:szCs w:val="21"/>
              </w:rPr>
              <w:t xml:space="preserve">    不符合□</w:t>
            </w:r>
          </w:p>
          <w:p w14:paraId="179BFBF6">
            <w:pPr>
              <w:rPr>
                <w:szCs w:val="21"/>
              </w:rPr>
            </w:pPr>
            <w:r>
              <w:rPr>
                <w:rFonts w:hint="eastAsia"/>
                <w:szCs w:val="21"/>
              </w:rPr>
              <w:t xml:space="preserve">提供固定/临时场所清单，并按方案要求安排计划：符合 </w:t>
            </w:r>
            <w:r>
              <w:rPr>
                <w:rFonts w:ascii="Wingdings 2" w:hAnsi="Wingdings 2"/>
                <w:szCs w:val="21"/>
              </w:rPr>
              <w:sym w:font="Wingdings 2" w:char="F0BE"/>
            </w:r>
            <w:r>
              <w:rPr>
                <w:rFonts w:hint="eastAsia"/>
                <w:szCs w:val="21"/>
              </w:rPr>
              <w:t xml:space="preserve">  不符合□  </w:t>
            </w:r>
          </w:p>
          <w:p w14:paraId="41D6D1B1">
            <w:pPr>
              <w:rPr>
                <w:szCs w:val="21"/>
              </w:rPr>
            </w:pPr>
            <w:r>
              <w:rPr>
                <w:rFonts w:hint="eastAsia"/>
                <w:szCs w:val="21"/>
              </w:rPr>
              <w:t>3.审核有效性：</w:t>
            </w:r>
          </w:p>
          <w:p w14:paraId="7D450110">
            <w:pPr>
              <w:rPr>
                <w:szCs w:val="21"/>
              </w:rPr>
            </w:pPr>
            <w:r>
              <w:rPr>
                <w:rFonts w:hint="eastAsia"/>
                <w:szCs w:val="21"/>
              </w:rPr>
              <w:t xml:space="preserve">经营资质、守法证据适宜、有效：符合 </w:t>
            </w:r>
            <w:r>
              <w:rPr>
                <w:rFonts w:ascii="Wingdings 2" w:hAnsi="Wingdings 2"/>
                <w:szCs w:val="21"/>
              </w:rPr>
              <w:sym w:font="Wingdings 2" w:char="F0BE"/>
            </w:r>
            <w:r>
              <w:rPr>
                <w:rFonts w:hint="eastAsia"/>
                <w:szCs w:val="21"/>
              </w:rPr>
              <w:t xml:space="preserve">    不符合□         </w:t>
            </w:r>
          </w:p>
          <w:p w14:paraId="037D3199">
            <w:pPr>
              <w:rPr>
                <w:szCs w:val="21"/>
              </w:rPr>
            </w:pPr>
            <w:r>
              <w:rPr>
                <w:rFonts w:hint="eastAsia"/>
                <w:szCs w:val="21"/>
              </w:rPr>
              <w:t xml:space="preserve">文件审查：符合 </w:t>
            </w:r>
            <w:r>
              <w:rPr>
                <w:rFonts w:ascii="Wingdings 2" w:hAnsi="Wingdings 2"/>
                <w:szCs w:val="21"/>
              </w:rPr>
              <w:sym w:font="Wingdings 2" w:char="F0BE"/>
            </w:r>
            <w:r>
              <w:rPr>
                <w:rFonts w:hint="eastAsia"/>
                <w:szCs w:val="21"/>
              </w:rPr>
              <w:t xml:space="preserve">    不符合□</w:t>
            </w:r>
          </w:p>
          <w:p w14:paraId="2FF00EAC">
            <w:pPr>
              <w:rPr>
                <w:szCs w:val="21"/>
              </w:rPr>
            </w:pPr>
            <w:r>
              <w:rPr>
                <w:rFonts w:hint="eastAsia"/>
                <w:szCs w:val="21"/>
              </w:rPr>
              <w:t xml:space="preserve">过程审核充分，抽样合理：符合 </w:t>
            </w:r>
            <w:r>
              <w:rPr>
                <w:rFonts w:ascii="Wingdings 2" w:hAnsi="Wingdings 2"/>
                <w:szCs w:val="21"/>
              </w:rPr>
              <w:sym w:font="Wingdings 2" w:char="F0BE"/>
            </w:r>
            <w:r>
              <w:rPr>
                <w:rFonts w:hint="eastAsia"/>
                <w:szCs w:val="21"/>
              </w:rPr>
              <w:t xml:space="preserve">    不符合□               </w:t>
            </w:r>
          </w:p>
          <w:p w14:paraId="21773EBB">
            <w:pPr>
              <w:rPr>
                <w:szCs w:val="21"/>
              </w:rPr>
            </w:pPr>
            <w:r>
              <w:rPr>
                <w:rFonts w:hint="eastAsia"/>
                <w:szCs w:val="21"/>
              </w:rPr>
              <w:t xml:space="preserve">法律法规识别充分：符合 </w:t>
            </w:r>
            <w:r>
              <w:rPr>
                <w:rFonts w:ascii="Wingdings 2" w:hAnsi="Wingdings 2"/>
                <w:szCs w:val="21"/>
              </w:rPr>
              <w:sym w:font="Wingdings 2" w:char="F0BE"/>
            </w:r>
            <w:r>
              <w:rPr>
                <w:rFonts w:hint="eastAsia"/>
                <w:szCs w:val="21"/>
              </w:rPr>
              <w:t xml:space="preserve">    不符合</w:t>
            </w:r>
            <w:r>
              <w:rPr>
                <w:rFonts w:ascii="Wingdings 2" w:hAnsi="Wingdings 2"/>
                <w:szCs w:val="21"/>
              </w:rPr>
              <w:sym w:font="Wingdings 2" w:char="F052"/>
            </w:r>
          </w:p>
          <w:p w14:paraId="0EA0F4E0">
            <w:pPr>
              <w:rPr>
                <w:szCs w:val="21"/>
              </w:rPr>
            </w:pPr>
            <w:r>
              <w:rPr>
                <w:rFonts w:hint="eastAsia"/>
                <w:szCs w:val="21"/>
              </w:rPr>
              <w:t xml:space="preserve">内审、管理评审按规定的时间间隔实施且有效：符合 </w:t>
            </w:r>
            <w:r>
              <w:rPr>
                <w:rFonts w:ascii="Wingdings 2" w:hAnsi="Wingdings 2"/>
                <w:szCs w:val="21"/>
              </w:rPr>
              <w:sym w:font="Wingdings 2" w:char="F0BE"/>
            </w:r>
            <w:r>
              <w:rPr>
                <w:rFonts w:hint="eastAsia"/>
                <w:szCs w:val="21"/>
              </w:rPr>
              <w:t xml:space="preserve">    不符合□     </w:t>
            </w:r>
          </w:p>
          <w:p w14:paraId="0D361073">
            <w:pPr>
              <w:rPr>
                <w:szCs w:val="21"/>
              </w:rPr>
            </w:pPr>
            <w:r>
              <w:rPr>
                <w:rFonts w:hint="eastAsia"/>
                <w:szCs w:val="21"/>
              </w:rPr>
              <w:t xml:space="preserve">认证覆盖全部产品范围(未覆盖时有合理说明) ：符合 </w:t>
            </w:r>
            <w:r>
              <w:rPr>
                <w:rFonts w:ascii="Wingdings 2" w:hAnsi="Wingdings 2"/>
                <w:szCs w:val="21"/>
              </w:rPr>
              <w:sym w:font="Wingdings 2" w:char="F0BE"/>
            </w:r>
            <w:r>
              <w:rPr>
                <w:rFonts w:hint="eastAsia"/>
                <w:szCs w:val="21"/>
              </w:rPr>
              <w:t xml:space="preserve">    不符合□  </w:t>
            </w:r>
          </w:p>
          <w:p w14:paraId="7EBC9F01">
            <w:pPr>
              <w:rPr>
                <w:szCs w:val="21"/>
              </w:rPr>
            </w:pPr>
            <w:r>
              <w:rPr>
                <w:rFonts w:hint="eastAsia"/>
                <w:szCs w:val="21"/>
              </w:rPr>
              <w:t xml:space="preserve">检查表内容填写齐全：符合 </w:t>
            </w:r>
            <w:r>
              <w:rPr>
                <w:rFonts w:ascii="Wingdings 2" w:hAnsi="Wingdings 2"/>
                <w:szCs w:val="21"/>
              </w:rPr>
              <w:sym w:font="Wingdings 2" w:char="F0BE"/>
            </w:r>
            <w:r>
              <w:rPr>
                <w:rFonts w:hint="eastAsia"/>
                <w:szCs w:val="21"/>
              </w:rPr>
              <w:t xml:space="preserve">    不符合□ </w:t>
            </w:r>
          </w:p>
          <w:p w14:paraId="44D7073E">
            <w:pPr>
              <w:rPr>
                <w:szCs w:val="21"/>
              </w:rPr>
            </w:pPr>
            <w:r>
              <w:rPr>
                <w:rFonts w:hint="eastAsia"/>
                <w:szCs w:val="21"/>
              </w:rPr>
              <w:t>不符合报告事实清楚，整改符合：符合</w:t>
            </w:r>
            <w:r>
              <w:rPr>
                <w:rFonts w:ascii="Wingdings 2" w:hAnsi="Wingdings 2"/>
                <w:szCs w:val="21"/>
              </w:rPr>
              <w:sym w:font="Wingdings 2" w:char="F0BE"/>
            </w:r>
            <w:r>
              <w:rPr>
                <w:rFonts w:hint="eastAsia"/>
                <w:szCs w:val="21"/>
              </w:rPr>
              <w:t xml:space="preserve">    不符合□</w:t>
            </w:r>
          </w:p>
          <w:p w14:paraId="2AB13B7E">
            <w:pPr>
              <w:rPr>
                <w:szCs w:val="21"/>
              </w:rPr>
            </w:pPr>
            <w:r>
              <w:rPr>
                <w:rFonts w:hint="eastAsia"/>
                <w:szCs w:val="21"/>
              </w:rPr>
              <w:t xml:space="preserve">4.审核报告记录完整：符合 </w:t>
            </w:r>
            <w:r>
              <w:rPr>
                <w:rFonts w:ascii="Wingdings 2" w:hAnsi="Wingdings 2"/>
                <w:szCs w:val="21"/>
              </w:rPr>
              <w:sym w:font="Wingdings 2" w:char="F0BE"/>
            </w:r>
            <w:r>
              <w:rPr>
                <w:rFonts w:hint="eastAsia"/>
                <w:szCs w:val="21"/>
              </w:rPr>
              <w:t xml:space="preserve">    不符合□ </w:t>
            </w:r>
          </w:p>
          <w:p w14:paraId="3C75A93A">
            <w:pPr>
              <w:rPr>
                <w:szCs w:val="21"/>
              </w:rPr>
            </w:pPr>
            <w:r>
              <w:rPr>
                <w:rFonts w:hint="eastAsia"/>
                <w:szCs w:val="21"/>
              </w:rPr>
              <w:t>5.上次审核的不符合项进行了跟踪验证,是否有效可关闭（适用于监督和再认证）：</w:t>
            </w:r>
            <w:r>
              <w:rPr>
                <w:rFonts w:hint="eastAsia"/>
                <w:szCs w:val="21"/>
              </w:rPr>
              <w:t>符合 ■    不符合□  不适用□</w:t>
            </w:r>
          </w:p>
          <w:p w14:paraId="023B4EF5">
            <w:pPr>
              <w:rPr>
                <w:szCs w:val="21"/>
              </w:rPr>
            </w:pPr>
            <w:r>
              <w:rPr>
                <w:rFonts w:hint="eastAsia"/>
                <w:szCs w:val="21"/>
              </w:rPr>
              <w:t>6.组织是否受到认证相关方的投诉：</w:t>
            </w:r>
            <w:r>
              <w:rPr>
                <w:rFonts w:ascii="Wingdings 2" w:hAnsi="Wingdings 2"/>
                <w:szCs w:val="21"/>
              </w:rPr>
              <w:sym w:font="Wingdings 2" w:char="F0BE"/>
            </w:r>
            <w:r>
              <w:rPr>
                <w:rFonts w:hint="eastAsia"/>
                <w:szCs w:val="21"/>
              </w:rPr>
              <w:t>否  □是：该投诉是否已经得到满意解决 □是 □否</w:t>
            </w:r>
          </w:p>
          <w:p w14:paraId="10FCA54E">
            <w:pPr>
              <w:rPr>
                <w:szCs w:val="21"/>
              </w:rPr>
            </w:pPr>
            <w:r>
              <w:rPr>
                <w:rFonts w:hint="eastAsia"/>
                <w:szCs w:val="21"/>
              </w:rPr>
              <w:t>7.审核组的结论：通过</w:t>
            </w:r>
            <w:r>
              <w:rPr>
                <w:rFonts w:ascii="Wingdings 2" w:hAnsi="Wingdings 2"/>
                <w:szCs w:val="21"/>
              </w:rPr>
              <w:sym w:font="Wingdings 2" w:char="F0BE"/>
            </w:r>
            <w:r>
              <w:rPr>
                <w:rFonts w:hint="eastAsia"/>
                <w:szCs w:val="21"/>
              </w:rPr>
              <w:t xml:space="preserve">  不通过□</w:t>
            </w:r>
          </w:p>
        </w:tc>
      </w:tr>
      <w:tr w14:paraId="119A7237">
        <w:tblPrEx>
          <w:tblW w:w="10031" w:type="dxa"/>
          <w:tblInd w:w="0" w:type="dxa"/>
          <w:tblLayout w:type="fixed"/>
          <w:tblCellMar>
            <w:top w:w="0" w:type="dxa"/>
            <w:left w:w="108" w:type="dxa"/>
            <w:bottom w:w="0" w:type="dxa"/>
            <w:right w:w="108" w:type="dxa"/>
          </w:tblCellMar>
        </w:tblPrEx>
        <w:tc>
          <w:tcPr>
            <w:tcW w:w="1526" w:type="dxa"/>
            <w:vAlign w:val="center"/>
          </w:tcPr>
          <w:p w14:paraId="52262C9F">
            <w:pPr>
              <w:rPr>
                <w:szCs w:val="21"/>
              </w:rPr>
            </w:pPr>
            <w:r>
              <w:rPr>
                <w:rFonts w:hint="eastAsia"/>
                <w:szCs w:val="21"/>
              </w:rPr>
              <w:t>评审人员</w:t>
            </w:r>
          </w:p>
        </w:tc>
        <w:tc>
          <w:tcPr>
            <w:tcW w:w="8505" w:type="dxa"/>
            <w:gridSpan w:val="3"/>
          </w:tcPr>
          <w:p w14:paraId="4E664DAA">
            <w:pPr>
              <w:pStyle w:val="NormalIndent"/>
              <w:ind w:firstLine="0" w:firstLineChars="0"/>
              <w:rPr>
                <w:szCs w:val="21"/>
              </w:rPr>
            </w:pPr>
            <w:bookmarkStart w:id="6" w:name="阅卷人员签名5"/>
            <w:bookmarkEnd w:id="6"/>
            <w:bookmarkStart w:id="7" w:name="阅卷人员签名3"/>
            <w:bookmarkEnd w:id="7"/>
            <w:bookmarkStart w:id="8" w:name="阅卷人员签名1"/>
            <w:bookmarkEnd w:id="8"/>
            <w:bookmarkStart w:id="9" w:name="阅卷人员签名6"/>
            <w:bookmarkEnd w:id="9"/>
            <w:bookmarkStart w:id="10" w:name="阅卷人员签名2"/>
            <w:bookmarkEnd w:id="10"/>
            <w:bookmarkStart w:id="11" w:name="阅卷人员签名4"/>
            <w:bookmarkEnd w:id="11"/>
            <w:r>
              <w:rPr>
                <w:rFonts w:hint="eastAsia"/>
                <w:szCs w:val="21"/>
              </w:rPr>
              <w:t>肖新龙、常兴玲</w:t>
            </w:r>
          </w:p>
        </w:tc>
      </w:tr>
      <w:tr w14:paraId="75E29DDE">
        <w:tblPrEx>
          <w:tblW w:w="10031" w:type="dxa"/>
          <w:tblInd w:w="0" w:type="dxa"/>
          <w:tblLayout w:type="fixed"/>
          <w:tblCellMar>
            <w:top w:w="0" w:type="dxa"/>
            <w:left w:w="108" w:type="dxa"/>
            <w:bottom w:w="0" w:type="dxa"/>
            <w:right w:w="108" w:type="dxa"/>
          </w:tblCellMar>
        </w:tblPrEx>
        <w:tc>
          <w:tcPr>
            <w:tcW w:w="1526" w:type="dxa"/>
            <w:vAlign w:val="center"/>
          </w:tcPr>
          <w:p w14:paraId="77D46CE2">
            <w:pPr>
              <w:rPr>
                <w:szCs w:val="21"/>
              </w:rPr>
            </w:pPr>
            <w:r>
              <w:rPr>
                <w:rFonts w:hint="eastAsia"/>
                <w:szCs w:val="21"/>
              </w:rPr>
              <w:t>认证决定结论</w:t>
            </w:r>
          </w:p>
        </w:tc>
        <w:tc>
          <w:tcPr>
            <w:tcW w:w="8505" w:type="dxa"/>
            <w:gridSpan w:val="3"/>
          </w:tcPr>
          <w:p w14:paraId="16F64B8C">
            <w:pPr>
              <w:spacing w:line="276" w:lineRule="auto"/>
              <w:jc w:val="left"/>
              <w:rPr>
                <w:szCs w:val="21"/>
              </w:rPr>
            </w:pPr>
            <w:r>
              <w:rPr>
                <w:rFonts w:asciiTheme="minorEastAsia" w:hAnsiTheme="minorEastAsia" w:hint="eastAsia"/>
                <w:szCs w:val="21"/>
              </w:rPr>
              <w:t>■</w:t>
            </w:r>
            <w:r>
              <w:rPr>
                <w:rFonts w:hint="eastAsia"/>
                <w:szCs w:val="21"/>
              </w:rPr>
              <w:t>案卷符合要求，可以认证注册/保持</w:t>
            </w:r>
          </w:p>
          <w:p w14:paraId="699CB3BF">
            <w:pPr>
              <w:spacing w:line="276" w:lineRule="auto"/>
              <w:jc w:val="left"/>
              <w:rPr>
                <w:szCs w:val="21"/>
              </w:rPr>
            </w:pPr>
            <w:r>
              <w:rPr>
                <w:rFonts w:hint="eastAsia"/>
                <w:szCs w:val="21"/>
              </w:rPr>
              <w:t>□案卷不符合要求，不可以认证注册/保持;</w:t>
            </w:r>
          </w:p>
        </w:tc>
      </w:tr>
      <w:tr w14:paraId="3E6A24F9">
        <w:tblPrEx>
          <w:tblW w:w="10031" w:type="dxa"/>
          <w:tblInd w:w="0" w:type="dxa"/>
          <w:tblLayout w:type="fixed"/>
          <w:tblCellMar>
            <w:top w:w="0" w:type="dxa"/>
            <w:left w:w="108" w:type="dxa"/>
            <w:bottom w:w="0" w:type="dxa"/>
            <w:right w:w="108" w:type="dxa"/>
          </w:tblCellMar>
        </w:tblPrEx>
        <w:tc>
          <w:tcPr>
            <w:tcW w:w="1526" w:type="dxa"/>
            <w:vAlign w:val="center"/>
          </w:tcPr>
          <w:p w14:paraId="5F24B544">
            <w:pPr>
              <w:rPr>
                <w:szCs w:val="21"/>
              </w:rPr>
            </w:pPr>
            <w:r>
              <w:rPr>
                <w:rFonts w:hint="eastAsia"/>
                <w:szCs w:val="21"/>
              </w:rPr>
              <w:t>认证决定人员</w:t>
            </w:r>
          </w:p>
        </w:tc>
        <w:tc>
          <w:tcPr>
            <w:tcW w:w="5098" w:type="dxa"/>
            <w:vAlign w:val="center"/>
          </w:tcPr>
          <w:p w14:paraId="442A08B2">
            <w:pPr>
              <w:pStyle w:val="NormalIndent"/>
              <w:ind w:firstLine="0" w:firstLineChars="0"/>
              <w:rPr>
                <w:szCs w:val="21"/>
              </w:rPr>
            </w:pPr>
            <w:r>
              <w:rPr>
                <w:rFonts w:hint="eastAsia"/>
                <w:szCs w:val="21"/>
              </w:rPr>
              <w:t>闫宇侠</w:t>
            </w:r>
          </w:p>
        </w:tc>
        <w:tc>
          <w:tcPr>
            <w:tcW w:w="1050" w:type="dxa"/>
            <w:vAlign w:val="center"/>
          </w:tcPr>
          <w:p w14:paraId="5D0C3FE5">
            <w:pPr>
              <w:rPr>
                <w:szCs w:val="21"/>
              </w:rPr>
            </w:pPr>
            <w:r>
              <w:rPr>
                <w:rFonts w:hint="eastAsia"/>
                <w:szCs w:val="21"/>
              </w:rPr>
              <w:t>日期</w:t>
            </w:r>
          </w:p>
        </w:tc>
        <w:tc>
          <w:tcPr>
            <w:tcW w:w="2357" w:type="dxa"/>
            <w:vAlign w:val="center"/>
          </w:tcPr>
          <w:p w14:paraId="057EFB72">
            <w:pPr>
              <w:rPr>
                <w:szCs w:val="21"/>
              </w:rPr>
            </w:pPr>
            <w:bookmarkStart w:id="12" w:name="检查评定日期"/>
            <w:bookmarkEnd w:id="12"/>
            <w:r>
              <w:rPr>
                <w:rFonts w:hint="eastAsia"/>
                <w:szCs w:val="21"/>
              </w:rPr>
              <w:t>2025-12-01</w:t>
            </w:r>
          </w:p>
        </w:tc>
      </w:tr>
      <w:tr w14:paraId="7558D8D4">
        <w:tblPrEx>
          <w:tblW w:w="10031" w:type="dxa"/>
          <w:tblInd w:w="0" w:type="dxa"/>
          <w:tblLayout w:type="fixed"/>
          <w:tblCellMar>
            <w:top w:w="0" w:type="dxa"/>
            <w:left w:w="108" w:type="dxa"/>
            <w:bottom w:w="0" w:type="dxa"/>
            <w:right w:w="108" w:type="dxa"/>
          </w:tblCellMar>
        </w:tblPrEx>
        <w:tc>
          <w:tcPr>
            <w:tcW w:w="1526" w:type="dxa"/>
            <w:vAlign w:val="center"/>
          </w:tcPr>
          <w:p w14:paraId="0330F876">
            <w:pPr>
              <w:rPr>
                <w:szCs w:val="21"/>
              </w:rPr>
            </w:pPr>
            <w:r>
              <w:rPr>
                <w:rFonts w:hint="eastAsia"/>
                <w:szCs w:val="21"/>
              </w:rPr>
              <w:t>机构总经理审批意见</w:t>
            </w:r>
          </w:p>
        </w:tc>
        <w:tc>
          <w:tcPr>
            <w:tcW w:w="8505" w:type="dxa"/>
            <w:gridSpan w:val="3"/>
          </w:tcPr>
          <w:p w14:paraId="3C102590">
            <w:pPr>
              <w:rPr>
                <w:szCs w:val="21"/>
              </w:rPr>
            </w:pPr>
            <w:r>
              <w:rPr>
                <w:rFonts w:asciiTheme="minorEastAsia" w:hAnsiTheme="minorEastAsia" w:hint="eastAsia"/>
                <w:szCs w:val="21"/>
              </w:rPr>
              <w:t>■</w:t>
            </w:r>
            <w:r>
              <w:rPr>
                <w:rFonts w:hint="eastAsia"/>
                <w:szCs w:val="21"/>
              </w:rPr>
              <w:t>认证流程符合要求，可以认证注册/保持</w:t>
            </w:r>
          </w:p>
          <w:p w14:paraId="7BDAAFC5">
            <w:pPr>
              <w:rPr>
                <w:sz w:val="24"/>
                <w:szCs w:val="24"/>
              </w:rPr>
            </w:pPr>
            <w:r>
              <w:rPr>
                <w:rFonts w:hint="eastAsia"/>
                <w:szCs w:val="21"/>
              </w:rPr>
              <w:t>□认证流程不符合要求，不可以认证注册/保持</w:t>
            </w:r>
          </w:p>
        </w:tc>
      </w:tr>
      <w:tr w14:paraId="363B855A">
        <w:tblPrEx>
          <w:tblW w:w="10031" w:type="dxa"/>
          <w:tblInd w:w="0" w:type="dxa"/>
          <w:tblLayout w:type="fixed"/>
          <w:tblCellMar>
            <w:top w:w="0" w:type="dxa"/>
            <w:left w:w="108" w:type="dxa"/>
            <w:bottom w:w="0" w:type="dxa"/>
            <w:right w:w="108" w:type="dxa"/>
          </w:tblCellMar>
        </w:tblPrEx>
        <w:tc>
          <w:tcPr>
            <w:tcW w:w="1526" w:type="dxa"/>
            <w:vAlign w:val="center"/>
          </w:tcPr>
          <w:p w14:paraId="0104D8DC">
            <w:pPr>
              <w:rPr>
                <w:szCs w:val="21"/>
              </w:rPr>
            </w:pPr>
            <w:r>
              <w:rPr>
                <w:rFonts w:hint="eastAsia"/>
                <w:szCs w:val="21"/>
              </w:rPr>
              <w:t>总经理签字</w:t>
            </w:r>
          </w:p>
        </w:tc>
        <w:tc>
          <w:tcPr>
            <w:tcW w:w="8505" w:type="dxa"/>
            <w:gridSpan w:val="3"/>
          </w:tcPr>
          <w:p w14:paraId="6BCC0FC2">
            <w:pPr>
              <w:rPr>
                <w:sz w:val="28"/>
                <w:szCs w:val="28"/>
              </w:rPr>
            </w:pPr>
            <w:r>
              <w:drawing>
                <wp:inline distT="0" distB="0" distL="0" distR="0">
                  <wp:extent cx="1032510" cy="540385"/>
                  <wp:effectExtent l="0" t="0" r="0" b="0"/>
                  <wp:docPr id="1" name="图片 1" descr="C:\Users\Administrator\AppData\Local\Microsoft\Windows\INetCache\Content.Word\黄义俊签字 - 副本.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9599685" name="图片 1" descr="C:\Users\Administrator\AppData\Local\Microsoft\Windows\INetCache\Content.Word\黄义俊签字 - 副本.png"/>
                          <pic:cNvPicPr>
                            <a:picLocks noChangeAspect="1" noChangeArrowheads="1"/>
                          </pic:cNvPicPr>
                        </pic:nvPicPr>
                        <pic:blipFill>
                          <a:blip xmlns:r="http://schemas.openxmlformats.org/officeDocument/2006/relationships" r:embed="rId6" cstate="print"/>
                          <a:stretch>
                            <a:fillRect/>
                          </a:stretch>
                        </pic:blipFill>
                        <pic:spPr>
                          <a:xfrm>
                            <a:off x="0" y="0"/>
                            <a:ext cx="1036101" cy="542720"/>
                          </a:xfrm>
                          <a:prstGeom prst="rect">
                            <a:avLst/>
                          </a:prstGeom>
                          <a:noFill/>
                          <a:ln w="9525">
                            <a:noFill/>
                            <a:miter lim="800000"/>
                            <a:headEnd/>
                            <a:tailEnd/>
                          </a:ln>
                        </pic:spPr>
                      </pic:pic>
                    </a:graphicData>
                  </a:graphic>
                </wp:inline>
              </w:drawing>
            </w:r>
          </w:p>
        </w:tc>
      </w:tr>
    </w:tbl>
    <w:p w14:paraId="7F274AFB">
      <w:pPr>
        <w:rPr>
          <w:rFonts w:ascii="Tms Rmn" w:hAnsi="Tms Rmn"/>
          <w:sz w:val="32"/>
          <w:szCs w:val="32"/>
        </w:rPr>
      </w:pPr>
    </w:p>
    <w:sectPr>
      <w:headerReference w:type="default" r:id="rId7"/>
      <w:pgSz w:w="11906" w:h="16838"/>
      <w:pgMar w:top="1440" w:right="1080" w:bottom="1440" w:left="1080" w:header="851" w:footer="992" w:gutter="0"/>
      <w:cols w:num="1" w:space="425"/>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Tms Rmn">
    <w:altName w:val="Times New Roman"/>
    <w:panose1 w:val="02020603040505020304"/>
    <w:charset w:val="00"/>
    <w:family w:val="roman"/>
    <w:pitch w:val="default"/>
    <w:sig w:usb0="00000000" w:usb1="00000000" w:usb2="00000000" w:usb3="00000000" w:csb0="00000001" w:csb1="00000000"/>
  </w:font>
  <w:font w:name="Wingdings 2">
    <w:panose1 w:val="05020102010507070707"/>
    <w:charset w:val="02"/>
    <w:family w:val="roman"/>
    <w:pitch w:val="default"/>
    <w:sig w:usb0="00000000" w:usb1="00000000" w:usb2="00000000" w:usb3="00000000" w:csb0="80000000"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79F038C9">
    <w:pPr>
      <w:ind w:firstLine="420" w:firstLineChars="200"/>
      <w:rPr>
        <w:rStyle w:val="CharChar1"/>
        <w:rFonts w:ascii="Times New Roman" w:hAnsi="Times New Roman" w:hint="default"/>
        <w:szCs w:val="21"/>
      </w:rPr>
    </w:pPr>
    <w:r>
      <w:rPr>
        <w:rFonts w:ascii="Times New Roman"/>
      </w:rPr>
      <w:pict>
        <v:shapetype id="_x0000_t202" coordsize="21600,21600" o:spt="202" path="m,l,21600r21600,l21600,xe">
          <v:stroke joinstyle="miter"/>
          <v:path gradientshapeok="t" o:connecttype="rect"/>
        </v:shapetype>
        <v:shape id="_x0000_s2049" o:spid="_x0000_s2049" type="#_x0000_t202" style="width:186pt;height:24.15pt;margin-top:4.15pt;margin-left:295.5pt;mso-height-relative:page;mso-width-relative:page;position:absolute;z-index:251658240" coordsize="21600,21600" stroked="f">
          <v:stroke joinstyle="miter"/>
          <v:textbox>
            <w:txbxContent>
              <w:p w14:paraId="2297F85E">
                <w:pPr>
                  <w:rPr>
                    <w:szCs w:val="21"/>
                  </w:rPr>
                </w:pPr>
                <w:r>
                  <w:rPr>
                    <w:szCs w:val="21"/>
                  </w:rPr>
                  <w:t>ISC-B-</w:t>
                </w:r>
                <w:r>
                  <w:rPr>
                    <w:rFonts w:hint="eastAsia"/>
                    <w:szCs w:val="21"/>
                  </w:rPr>
                  <w:t>2 认证决定报告书（02版)</w:t>
                </w:r>
              </w:p>
            </w:txbxContent>
          </v:textbox>
        </v:shape>
      </w:pict>
    </w:r>
    <w:r>
      <w:rPr>
        <w:szCs w:val="24"/>
      </w:rPr>
      <w:drawing>
        <wp:anchor distT="0" distB="0" distL="114300" distR="114300" simplePos="0" relativeHeight="251659264" behindDoc="0" locked="0" layoutInCell="1" allowOverlap="1">
          <wp:simplePos x="0" y="0"/>
          <wp:positionH relativeFrom="column">
            <wp:posOffset>-229870</wp:posOffset>
          </wp:positionH>
          <wp:positionV relativeFrom="paragraph">
            <wp:posOffset>-104775</wp:posOffset>
          </wp:positionV>
          <wp:extent cx="481965" cy="485140"/>
          <wp:effectExtent l="19050" t="0" r="0" b="0"/>
          <wp:wrapTopAndBottom/>
          <wp:docPr id="2"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86819213" name="图片 0" descr="新LOGO.png"/>
                  <pic:cNvPicPr>
                    <a:picLocks noChangeAspect="1" noChangeArrowheads="1"/>
                  </pic:cNvPicPr>
                </pic:nvPicPr>
                <pic:blipFill>
                  <a:blip xmlns:r="http://schemas.openxmlformats.org/officeDocument/2006/relationships" r:embed="rId1"/>
                  <a:stretch>
                    <a:fillRect/>
                  </a:stretch>
                </pic:blipFill>
                <pic:spPr>
                  <a:xfrm>
                    <a:off x="0" y="0"/>
                    <a:ext cx="481965" cy="485140"/>
                  </a:xfrm>
                  <a:prstGeom prst="rect">
                    <a:avLst/>
                  </a:prstGeom>
                  <a:noFill/>
                </pic:spPr>
              </pic:pic>
            </a:graphicData>
          </a:graphic>
        </wp:anchor>
      </w:drawing>
    </w:r>
    <w:r>
      <w:rPr>
        <w:rStyle w:val="CharChar1"/>
        <w:rFonts w:ascii="Times New Roman" w:hAnsi="Times New Roman" w:hint="default"/>
        <w:szCs w:val="21"/>
      </w:rPr>
      <w:t>北京国标联合认证有限公司</w:t>
    </w:r>
  </w:p>
  <w:p w14:paraId="2002E4A4">
    <w:pPr>
      <w:pStyle w:val="Header"/>
      <w:pBdr>
        <w:bottom w:val="single" w:sz="4" w:space="1" w:color="auto"/>
      </w:pBdr>
      <w:spacing w:line="320" w:lineRule="exact"/>
      <w:ind w:firstLine="525" w:firstLineChars="250"/>
      <w:jc w:val="left"/>
      <w:rPr>
        <w:rFonts w:ascii="宋体"/>
        <w:spacing w:val="-18"/>
        <w:szCs w:val="21"/>
      </w:rPr>
    </w:pPr>
    <w:r>
      <w:rPr>
        <w:rStyle w:val="CharChar1"/>
        <w:rFonts w:ascii="Times New Roman" w:hAnsi="Times New Roman" w:hint="default"/>
        <w:w w:val="80"/>
        <w:szCs w:val="21"/>
      </w:rPr>
      <w:t xml:space="preserve">Beijing International Standard united Certification Co.,Ltd.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A16FB"/>
    <w:rsid w:val="000047C5"/>
    <w:rsid w:val="000062B4"/>
    <w:rsid w:val="0001301B"/>
    <w:rsid w:val="00023F06"/>
    <w:rsid w:val="000448C7"/>
    <w:rsid w:val="000706DE"/>
    <w:rsid w:val="000A0A70"/>
    <w:rsid w:val="000B53C3"/>
    <w:rsid w:val="000B6E11"/>
    <w:rsid w:val="001016F0"/>
    <w:rsid w:val="00110001"/>
    <w:rsid w:val="00134D81"/>
    <w:rsid w:val="00174494"/>
    <w:rsid w:val="0017560D"/>
    <w:rsid w:val="001C79FA"/>
    <w:rsid w:val="001F5FEB"/>
    <w:rsid w:val="002077C7"/>
    <w:rsid w:val="00242194"/>
    <w:rsid w:val="00296CCF"/>
    <w:rsid w:val="002B24C2"/>
    <w:rsid w:val="002B4953"/>
    <w:rsid w:val="00317D60"/>
    <w:rsid w:val="003361A2"/>
    <w:rsid w:val="0034569D"/>
    <w:rsid w:val="003A5EAB"/>
    <w:rsid w:val="003B70BB"/>
    <w:rsid w:val="003D469D"/>
    <w:rsid w:val="003F6018"/>
    <w:rsid w:val="003F7515"/>
    <w:rsid w:val="00406B70"/>
    <w:rsid w:val="00413330"/>
    <w:rsid w:val="00416928"/>
    <w:rsid w:val="004D4A55"/>
    <w:rsid w:val="004D4D36"/>
    <w:rsid w:val="005067CF"/>
    <w:rsid w:val="00507B67"/>
    <w:rsid w:val="00562830"/>
    <w:rsid w:val="00571661"/>
    <w:rsid w:val="00582950"/>
    <w:rsid w:val="00595C81"/>
    <w:rsid w:val="005B7D12"/>
    <w:rsid w:val="006125A6"/>
    <w:rsid w:val="00702C44"/>
    <w:rsid w:val="00705FAA"/>
    <w:rsid w:val="00731251"/>
    <w:rsid w:val="00735C8B"/>
    <w:rsid w:val="00761CB8"/>
    <w:rsid w:val="00765C9E"/>
    <w:rsid w:val="007A061E"/>
    <w:rsid w:val="007B1D5A"/>
    <w:rsid w:val="007B7E21"/>
    <w:rsid w:val="007C2D56"/>
    <w:rsid w:val="007D6A31"/>
    <w:rsid w:val="007F753C"/>
    <w:rsid w:val="008034A9"/>
    <w:rsid w:val="00832781"/>
    <w:rsid w:val="00862FB7"/>
    <w:rsid w:val="008F78E9"/>
    <w:rsid w:val="00954FFD"/>
    <w:rsid w:val="0097690F"/>
    <w:rsid w:val="00977A12"/>
    <w:rsid w:val="009949AD"/>
    <w:rsid w:val="009C094D"/>
    <w:rsid w:val="00A04D37"/>
    <w:rsid w:val="00AF56B1"/>
    <w:rsid w:val="00B011B3"/>
    <w:rsid w:val="00B0467A"/>
    <w:rsid w:val="00B250DA"/>
    <w:rsid w:val="00B376C6"/>
    <w:rsid w:val="00BD0D7A"/>
    <w:rsid w:val="00C46AEE"/>
    <w:rsid w:val="00C64A5D"/>
    <w:rsid w:val="00C76C7B"/>
    <w:rsid w:val="00C92050"/>
    <w:rsid w:val="00CB3417"/>
    <w:rsid w:val="00CD03C2"/>
    <w:rsid w:val="00CD622E"/>
    <w:rsid w:val="00D41296"/>
    <w:rsid w:val="00D71AFF"/>
    <w:rsid w:val="00DA16FB"/>
    <w:rsid w:val="00E021D7"/>
    <w:rsid w:val="00E73189"/>
    <w:rsid w:val="00E86073"/>
    <w:rsid w:val="00E92710"/>
    <w:rsid w:val="00EB36AB"/>
    <w:rsid w:val="00F0034F"/>
    <w:rsid w:val="00F14600"/>
    <w:rsid w:val="00F474E0"/>
    <w:rsid w:val="00F60DBC"/>
    <w:rsid w:val="00FC47D2"/>
    <w:rsid w:val="00FF7CB5"/>
    <w:rsid w:val="075E13C9"/>
    <w:rsid w:val="08211137"/>
    <w:rsid w:val="09AF7805"/>
    <w:rsid w:val="0BF21BF2"/>
    <w:rsid w:val="0C516F71"/>
    <w:rsid w:val="0CCF08B9"/>
    <w:rsid w:val="10E42474"/>
    <w:rsid w:val="1697353B"/>
    <w:rsid w:val="1C0034CE"/>
    <w:rsid w:val="1EEB7551"/>
    <w:rsid w:val="1FC2631D"/>
    <w:rsid w:val="201B3E66"/>
    <w:rsid w:val="30DE1192"/>
    <w:rsid w:val="37A6213D"/>
    <w:rsid w:val="38AE211E"/>
    <w:rsid w:val="3DE04C13"/>
    <w:rsid w:val="3E557375"/>
    <w:rsid w:val="41F67E38"/>
    <w:rsid w:val="43511E9B"/>
    <w:rsid w:val="43BF3467"/>
    <w:rsid w:val="49A308A5"/>
    <w:rsid w:val="4B351B39"/>
    <w:rsid w:val="4E11069E"/>
    <w:rsid w:val="4F2343DC"/>
    <w:rsid w:val="51F855F5"/>
    <w:rsid w:val="531F3DD2"/>
    <w:rsid w:val="5B532BE2"/>
    <w:rsid w:val="5B7904A9"/>
    <w:rsid w:val="5E705F80"/>
    <w:rsid w:val="643E160D"/>
    <w:rsid w:val="65F22D68"/>
    <w:rsid w:val="6C661592"/>
    <w:rsid w:val="73DE2356"/>
    <w:rsid w:val="759A160D"/>
    <w:rsid w:val="7F36605F"/>
  </w:rsids>
  <w:docVars>
    <w:docVar w:name="commondata" w:val="eyJoZGlkIjoiYjQ3N2RkNjZlNzc0YjQ5YTM4ZmJiNGMwYWJhODE5Mz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footnote text"/>
    <w:lsdException w:name="annotation text"/>
    <w:lsdException w:name="header" w:semiHidden="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lsdException w:name="Body Text 3"/>
    <w:lsdException w:name="Body Text Indent 2"/>
    <w:lsdException w:name="Body Text Indent 3"/>
    <w:lsdException w:name="Block Text"/>
    <w:lsdException w:name="Hyperlink"/>
    <w:lsdException w:name="FollowedHyperlink"/>
    <w:lsdException w:name="Strong" w:semiHidden="0" w:uiPriority="22" w:unhideWhenUsed="0" w:qFormat="1"/>
    <w:lsdException w:name="Emphasis" w:semiHidden="0" w:uiPriority="20" w:unhideWhenUsed="0" w:qFormat="1"/>
    <w:lsdException w:name="Document Map"/>
    <w:lsdException w:name="Plain Text"/>
    <w:lsdException w:name="E-mail Signature"/>
    <w:lsdException w:name="Normal (Web)"/>
    <w:lsdException w:name="HTML Acronym"/>
    <w:lsdException w:name="HTML Address"/>
    <w:lsdException w:name="HTML Cite"/>
    <w:lsdException w:name="HTML Code"/>
    <w:lsdException w:name="HTML Definition"/>
    <w:lsdException w:name="HTML Keyboard"/>
    <w:lsdException w:name="HTML Preformatted"/>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qFormat="1"/>
    <w:lsdException w:name="Table Grid" w:semiHidden="0" w:uiPriority="39" w:unhideWhenUsed="0" w:qFormat="1"/>
    <w:lsdException w:name="Table Theme"/>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next w:val="NormalIndent"/>
    <w:qFormat/>
    <w:pPr>
      <w:widowControl w:val="0"/>
      <w:jc w:val="both"/>
    </w:pPr>
    <w:rPr>
      <w:rFonts w:asciiTheme="minorHAnsi" w:eastAsiaTheme="minorEastAsia" w:hAnsiTheme="minorHAnsi" w:cstheme="minorBidi"/>
      <w:kern w:val="2"/>
      <w:sz w:val="21"/>
      <w:szCs w:val="22"/>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styleId="NormalIndent">
    <w:name w:val="Normal Indent"/>
    <w:basedOn w:val="Normal"/>
    <w:uiPriority w:val="99"/>
    <w:qFormat/>
    <w:pPr>
      <w:ind w:firstLine="420" w:firstLineChars="200"/>
    </w:pPr>
    <w:rPr>
      <w:rFonts w:ascii="Tms Rmn" w:hAnsi="Tms Rmn"/>
    </w:rPr>
  </w:style>
  <w:style w:type="paragraph" w:styleId="BalloonText">
    <w:name w:val="Balloon Text"/>
    <w:basedOn w:val="Normal"/>
    <w:link w:val="Char1"/>
    <w:uiPriority w:val="99"/>
    <w:semiHidden/>
    <w:unhideWhenUsed/>
    <w:qFormat/>
    <w:rPr>
      <w:sz w:val="18"/>
      <w:szCs w:val="18"/>
    </w:rPr>
  </w:style>
  <w:style w:type="paragraph" w:styleId="Footer">
    <w:name w:val="footer"/>
    <w:basedOn w:val="Normal"/>
    <w:link w:val="Char0"/>
    <w:uiPriority w:val="99"/>
    <w:unhideWhenUsed/>
    <w:qFormat/>
    <w:pPr>
      <w:tabs>
        <w:tab w:val="center" w:pos="4153"/>
        <w:tab w:val="right" w:pos="8306"/>
      </w:tabs>
      <w:snapToGrid w:val="0"/>
      <w:jc w:val="left"/>
    </w:pPr>
    <w:rPr>
      <w:sz w:val="18"/>
      <w:szCs w:val="18"/>
    </w:rPr>
  </w:style>
  <w:style w:type="paragraph" w:styleId="Header">
    <w:name w:val="header"/>
    <w:basedOn w:val="Normal"/>
    <w:link w:val="Char"/>
    <w:uiPriority w:val="99"/>
    <w:unhideWhenUsed/>
    <w:qFormat/>
    <w:pPr>
      <w:pBdr>
        <w:bottom w:val="single" w:sz="6" w:space="1" w:color="auto"/>
      </w:pBdr>
      <w:tabs>
        <w:tab w:val="center" w:pos="4153"/>
        <w:tab w:val="right" w:pos="8306"/>
      </w:tabs>
      <w:snapToGrid w:val="0"/>
      <w:jc w:val="center"/>
    </w:pPr>
    <w:rPr>
      <w:sz w:val="18"/>
      <w:szCs w:val="18"/>
    </w:rPr>
  </w:style>
  <w:style w:type="table" w:styleId="TableGrid">
    <w:name w:val="Table Grid"/>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
    <w:name w:val="页眉 Char"/>
    <w:basedOn w:val="DefaultParagraphFont"/>
    <w:link w:val="Header"/>
    <w:uiPriority w:val="99"/>
    <w:qFormat/>
    <w:rPr>
      <w:sz w:val="18"/>
      <w:szCs w:val="18"/>
    </w:rPr>
  </w:style>
  <w:style w:type="character" w:customStyle="1" w:styleId="Char0">
    <w:name w:val="页脚 Char"/>
    <w:basedOn w:val="DefaultParagraphFont"/>
    <w:link w:val="Footer"/>
    <w:uiPriority w:val="99"/>
    <w:qFormat/>
    <w:rPr>
      <w:sz w:val="18"/>
      <w:szCs w:val="18"/>
    </w:rPr>
  </w:style>
  <w:style w:type="character" w:customStyle="1" w:styleId="Char1">
    <w:name w:val="批注框文本 Char"/>
    <w:basedOn w:val="DefaultParagraphFont"/>
    <w:link w:val="BalloonText"/>
    <w:uiPriority w:val="99"/>
    <w:semiHidden/>
    <w:qFormat/>
    <w:rPr>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image" Target="media/image1.png" /><Relationship Id="rId7" Type="http://schemas.openxmlformats.org/officeDocument/2006/relationships/header" Target="header1.xml" /><Relationship Id="rId8" Type="http://schemas.openxmlformats.org/officeDocument/2006/relationships/theme" Target="theme/theme1.xml" /><Relationship Id="rId9"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2.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&#65279;<?xml version="1.0" encoding="utf-8" standalone="yes"?><Relationships xmlns="http://schemas.openxmlformats.org/package/2006/relationships"><Relationship Id="rId1" Type="http://schemas.openxmlformats.org/officeDocument/2006/relationships/customXmlProps" Target="itemProps2.xml" /></Relationships>
</file>

<file path=customXml/item1.xml><?xml version="1.0" encoding="utf-8"?>
<s:customData xmlns="http://www.wps.cn/officeDocument/2013/wpsCustomData" xmlns:s="http://www.wps.cn/officeDocument/2013/wpsCustomData">
  <customSectProps/>
  <customShpExts>
    <customShpInfo spid="_x0000_s2049"/>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288BE7D6-56A5-42F7-AED8-0AE29D0B232D}">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697</Words>
  <Characters>722</Characters>
  <Application>Microsoft Office Word</Application>
  <DocSecurity>0</DocSecurity>
  <Lines>6</Lines>
  <Paragraphs>1</Paragraphs>
  <ScaleCrop>false</ScaleCrop>
  <Company/>
  <LinksUpToDate>false</LinksUpToDate>
  <CharactersWithSpaces>852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张 静</dc:creator>
  <cp:lastModifiedBy>admin</cp:lastModifiedBy>
  <cp:revision>33</cp:revision>
  <cp:lastPrinted>2022-06-09T08:35:00Z</cp:lastPrinted>
  <dcterms:created xsi:type="dcterms:W3CDTF">2022-06-07T02:22:00Z</dcterms:created>
  <dcterms:modified xsi:type="dcterms:W3CDTF">2025-12-21T11:04:09Z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1BF0CA2D20AA41EEA9C71BB53D0BC810</vt:lpwstr>
  </property>
  <property fmtid="{D5CDD505-2E9C-101B-9397-08002B2CF9AE}" pid="3" name="KSOProductBuildVer">
    <vt:lpwstr>2052-12.1.0.24034</vt:lpwstr>
  </property>
  <property fmtid="{D5CDD505-2E9C-101B-9397-08002B2CF9AE}" pid="4" name="KSOTemplateDocerSaveRecord">
    <vt:lpwstr>eyJoZGlkIjoiZTRlN2IyMjI5OWU3NjNmZTRmZjZmZGQ0OTgwZjg3Y2MiLCJ1c2VySWQiOiI0NTU2MzQ2OTkifQ==</vt:lpwstr>
  </property>
</Properties>
</file>