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10809-2023-MMS-MMS_16515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沈阳市新开拓热电测控仪表有限公司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辽宁省沈抚示范区伯官大街77-8号1门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辽宁省沈抚示范区伯官大街77-8号1门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MMS:热电阻、热电偶、双金属温度计、温度变送器、一体化温度变送器的生产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964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1956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