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0732-2021-MMS_9622</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江苏雄越石油机械设备制造有限公司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滨海县东坎镇民营创业园</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滨海县东坎镇民营创业园</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MMS:监督4</w:t>
            </w:r>
            <w:r>
              <w:rPr>
                <w:rFonts w:hint="eastAsia"/>
                <w:sz w:val="28"/>
                <w:szCs w:val="28"/>
                <w:lang w:val="en-US" w:eastAsia="zh-CN"/>
              </w:rPr>
              <w:t xml:space="preserve">  </w:t>
            </w:r>
            <w:r>
              <w:rPr>
                <w:rFonts w:hint="eastAsia"/>
                <w:sz w:val="28"/>
                <w:szCs w:val="28"/>
              </w:rPr>
              <w:t>范围扩大+人数变更</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石油钻采机械设备(采油、采气、注水、热采、偏心、压裂井口装置和采油树、套管头、防喷器、节流管汇、压井管汇、压裂管汇、压裂大通径管汇)、铸件、井口闸阀及其它配件产品的设计和生产所涉及场所的相关测量管理活动。</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吴素平、</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2025-10-23</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202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095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