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10972-2024-E-E_20200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重庆创精温锻成型有限公司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重庆市江津区双福镇双福工业园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重庆市江津区双福工业园区创业大道3号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E:汽车及摩托车零部件的生产所涉及场所的相关环境管理活动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1545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1327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