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10893-2024-SA-S_19956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陕西信通智控科技有限公司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陕西省西安市碑林区友谊东路136号天伦·泛太国际2号楼802-001室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陕西省西安市碑林区友谊东路136号天伦·泛太国际2号楼802-001室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FW:仪器仪表、智能无人飞行器、工业机器人的销售的售后服务（五星级）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952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18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