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22179-2025-ES-E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深圳数阔信息技术有限公司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深圳市南山区西丽街道西丽社区打石一路深圳国际创新谷1栋A座2001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广东省深圳市南山区西丽街道西丽社区打石一路深圳国际创新谷1栋A座20楼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E:人工智能应用软件开发和运维服务所涉及场所的相关环境管理活动</w:t>
            </w:r>
          </w:p>
          <w:p>
            <w:pPr>
              <w:rPr>
                <w:rFonts w:hint="eastAsia"/>
                <w:szCs w:val="21"/>
              </w:rPr>
            </w:pPr>
            <w:r>
              <w:rPr>
                <w:rFonts w:hint="eastAsia"/>
                <w:szCs w:val="21"/>
              </w:rPr>
              <w:t>S:人工智能应用软件开发和运维服务所涉及场所的相关职业健康安全管理活动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135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621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