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30147-2025-M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湖北恒通石化设备有限公司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湖北省黄冈市英山县温泉镇陵园街74号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湖北省黄冈市英山县邵河工业园区毕升西环路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MMS:再认证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MMS:压力管道元件之绝缘接头、过滤器的制造，许可范围内压力容器的制造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2025-12-30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174904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514108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