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21912-2025-QEOEnMS-E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佛山市银正铝业有限公司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佛山市三水区中心科技工业区C区37号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佛山市三水区中心科技工业区C区37号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E:工业铝材及铝合金建筑型材的生产所涉及场所的相关环境管理活动</w:t>
            </w:r>
          </w:p>
          <w:p>
            <w:pPr>
              <w:rPr>
                <w:rFonts w:hint="eastAsia"/>
                <w:szCs w:val="21"/>
              </w:rPr>
            </w:pPr>
            <w:r>
              <w:rPr>
                <w:rFonts w:hint="eastAsia"/>
                <w:szCs w:val="21"/>
              </w:rPr>
              <w:t>Q:工业铝材及铝合金建筑型材的生产</w:t>
            </w:r>
          </w:p>
          <w:p>
            <w:pPr>
              <w:rPr>
                <w:rFonts w:hint="eastAsia"/>
                <w:szCs w:val="21"/>
              </w:rPr>
            </w:pPr>
            <w:r>
              <w:rPr>
                <w:rFonts w:hint="eastAsia"/>
                <w:szCs w:val="21"/>
              </w:rPr>
              <w:t>S:工业铝材及铝合金建筑型材的生产所涉及场所的相关职业健康安全管理活动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0455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133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