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河南森源电气股份有限公司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河南省许昌市长葛市魏武路南段西侧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河南省许昌市长葛市魏武路南段西侧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低压配电及自动化成套装置、高低压电器元器件系列产品及电能质量治理装置；变压器及预装式变电站、开关站系列产品；新能源发电用电气设备；轨道交通及铁路电气化系列产品；充电桩（站）及智能充、换电柜系列产品；锂电池组、电池管理系统、可充电电池包产品及配件；工业机器人、物流及仓储设备及系统的设计、制造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18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47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