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30118-2025-M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广东美的制冷设备有限公司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佛山市顺德区北滘镇林港路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佛山市顺德区北滘镇林港路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MMS:空气调节器的设计和制造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6747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515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