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21648-2025-QEO-E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北京陆胜汽车租赁有限公司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北京市顺义区港馨家园50号楼1层三单元50-02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北京市顺义区港馨家园50号楼1层三单元50-02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E:许可范围内市内旅游包车客运；资质范围内传统小微型客车租赁服务所涉及场所的相关环境管理活动</w:t>
            </w:r>
          </w:p>
          <w:p>
            <w:pPr>
              <w:rPr>
                <w:rFonts w:hint="eastAsia"/>
                <w:szCs w:val="21"/>
              </w:rPr>
            </w:pPr>
            <w:r>
              <w:rPr>
                <w:rFonts w:hint="eastAsia"/>
                <w:szCs w:val="21"/>
              </w:rPr>
              <w:t>Q:许可范围内市内旅游包车客运；资质范围内传统小微型客车租赁服务</w:t>
            </w:r>
          </w:p>
          <w:p>
            <w:pPr>
              <w:rPr>
                <w:rFonts w:hint="eastAsia"/>
                <w:szCs w:val="21"/>
              </w:rPr>
            </w:pPr>
            <w:r>
              <w:rPr>
                <w:rFonts w:hint="eastAsia"/>
                <w:szCs w:val="21"/>
              </w:rPr>
              <w:t>S:许可范围内市内旅游包车客运；资质范围内传统小微型客车租赁服务所涉及场所的相关职业健康安全管理活动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刘秀琴、杜万成,马佳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154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4146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