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11266-2025-F-F</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呼伦贝尔小肥羊西旗羊肉有限公司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内蒙古自治区呼伦贝尔市新右旗阿镇三道街四段</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内蒙古自治区呼伦贝尔市新右旗阿镇三道街四段</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F:位于内蒙古自治区呼伦贝尔市新巴尔虎右旗阿镇三道街四段的呼伦贝尔小肥羊西旗羊肉有限公司羊的屠宰加工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2025-11-19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3197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2746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