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21614-2025-QEO-E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安徽淮海会计师事务所有限公司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安徽省宿州市淮海北路北苑大厦</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安徽省宿州市埇桥区环宇国际4号楼1319-1320室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E:资质许可范围的注册会计师业务所涉及场所的相关环境管理活动</w:t>
            </w:r>
          </w:p>
          <w:p>
            <w:pPr>
              <w:rPr>
                <w:rFonts w:hint="eastAsia"/>
                <w:szCs w:val="21"/>
              </w:rPr>
            </w:pPr>
            <w:r>
              <w:rPr>
                <w:rFonts w:hint="eastAsia"/>
                <w:szCs w:val="21"/>
              </w:rPr>
              <w:t>Q:资质许可范围的注册会计师业务</w:t>
            </w:r>
          </w:p>
          <w:p>
            <w:pPr>
              <w:rPr>
                <w:rFonts w:hint="eastAsia"/>
                <w:szCs w:val="21"/>
              </w:rPr>
            </w:pPr>
            <w:r>
              <w:rPr>
                <w:rFonts w:hint="eastAsia"/>
                <w:szCs w:val="21"/>
              </w:rPr>
              <w:t>S:资质许可范围的注册会计师业务所涉及场所的相关职业健康安全管理活动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4335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7105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